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D67" w:rsidRDefault="00C04D67" w:rsidP="008512FF">
      <w:pPr>
        <w:jc w:val="center"/>
        <w:rPr>
          <w:b/>
        </w:rPr>
      </w:pPr>
      <w:r w:rsidRPr="001820E8">
        <w:rPr>
          <w:b/>
        </w:rPr>
        <w:t>Policy statement template</w:t>
      </w:r>
    </w:p>
    <w:p w:rsidR="00075583" w:rsidRDefault="00075583" w:rsidP="003F7549">
      <w:pPr>
        <w:jc w:val="both"/>
        <w:rPr>
          <w:b/>
        </w:rPr>
      </w:pPr>
      <w:r>
        <w:rPr>
          <w:b/>
        </w:rPr>
        <w:t xml:space="preserve">Preface to the </w:t>
      </w:r>
      <w:r w:rsidR="004C4DF7">
        <w:rPr>
          <w:b/>
        </w:rPr>
        <w:t>use of Generic Implant Safety Policies (</w:t>
      </w:r>
      <w:r w:rsidR="008B7F42">
        <w:rPr>
          <w:b/>
        </w:rPr>
        <w:t>GISP</w:t>
      </w:r>
      <w:r w:rsidR="004C4DF7">
        <w:rPr>
          <w:b/>
        </w:rPr>
        <w:t>)</w:t>
      </w:r>
      <w:r>
        <w:rPr>
          <w:b/>
        </w:rPr>
        <w:t xml:space="preserve"> </w:t>
      </w:r>
    </w:p>
    <w:p w:rsidR="00B51CFE" w:rsidRDefault="008512FF" w:rsidP="003F7549">
      <w:pPr>
        <w:widowControl w:val="0"/>
        <w:pBdr>
          <w:top w:val="nil"/>
          <w:left w:val="nil"/>
          <w:bottom w:val="nil"/>
          <w:right w:val="nil"/>
          <w:between w:val="nil"/>
        </w:pBdr>
        <w:spacing w:line="276" w:lineRule="auto"/>
        <w:jc w:val="both"/>
        <w:rPr>
          <w:b/>
        </w:rPr>
      </w:pPr>
      <w:r>
        <w:rPr>
          <w:b/>
        </w:rPr>
        <w:t>Disclaimer</w:t>
      </w:r>
    </w:p>
    <w:p w:rsidR="003F7549" w:rsidRPr="003F7549" w:rsidRDefault="003F7549" w:rsidP="003F7549">
      <w:pPr>
        <w:widowControl w:val="0"/>
        <w:pBdr>
          <w:top w:val="nil"/>
          <w:left w:val="nil"/>
          <w:bottom w:val="nil"/>
          <w:right w:val="nil"/>
          <w:between w:val="nil"/>
        </w:pBdr>
        <w:spacing w:line="276" w:lineRule="auto"/>
        <w:jc w:val="both"/>
      </w:pPr>
      <w:r>
        <w:t xml:space="preserve">Compiled here are Generic Implant Safety Policies </w:t>
      </w:r>
      <w:r w:rsidR="008512FF">
        <w:t>(GISP’s) for MRI</w:t>
      </w:r>
      <w:r>
        <w:t>. While steps have been taken to minimise the risk of adoption of the</w:t>
      </w:r>
      <w:r w:rsidR="008512FF">
        <w:t>se</w:t>
      </w:r>
      <w:r>
        <w:t xml:space="preserve"> policies, it should be noted that these are not completely without risk. Health boards, trusts or private medical organisations should consider carefully whether they wish to adopt these policies. If they do, then they do so at their own risk.</w:t>
      </w:r>
      <w:r w:rsidR="008512FF">
        <w:t xml:space="preserve"> If you are a patient reading this, then we strongly advise you to contact your healthcare provider directly with any concerns prior to attending for your scan, as approaches may vary.</w:t>
      </w:r>
    </w:p>
    <w:p w:rsidR="00E61CE0" w:rsidRDefault="00B51CFE" w:rsidP="003F7549">
      <w:pPr>
        <w:widowControl w:val="0"/>
        <w:pBdr>
          <w:top w:val="nil"/>
          <w:left w:val="nil"/>
          <w:bottom w:val="nil"/>
          <w:right w:val="nil"/>
          <w:between w:val="nil"/>
        </w:pBdr>
        <w:spacing w:line="276" w:lineRule="auto"/>
        <w:jc w:val="both"/>
        <w:rPr>
          <w:b/>
        </w:rPr>
      </w:pPr>
      <w:r>
        <w:rPr>
          <w:b/>
        </w:rPr>
        <w:t>Generic benefits of GISP’s</w:t>
      </w:r>
    </w:p>
    <w:p w:rsidR="00E61CE0" w:rsidRPr="00E61CE0" w:rsidRDefault="00E61CE0" w:rsidP="003F7549">
      <w:pPr>
        <w:widowControl w:val="0"/>
        <w:numPr>
          <w:ilvl w:val="0"/>
          <w:numId w:val="5"/>
        </w:numPr>
        <w:pBdr>
          <w:top w:val="nil"/>
          <w:left w:val="nil"/>
          <w:bottom w:val="nil"/>
          <w:right w:val="nil"/>
          <w:between w:val="nil"/>
        </w:pBdr>
        <w:spacing w:line="276" w:lineRule="auto"/>
        <w:jc w:val="both"/>
      </w:pPr>
      <w:r w:rsidRPr="00E61CE0">
        <w:t xml:space="preserve">Facilitates </w:t>
      </w:r>
      <w:r w:rsidR="00855CE9">
        <w:t xml:space="preserve">patient </w:t>
      </w:r>
      <w:r w:rsidRPr="00E61CE0">
        <w:t>scanning when implant infor</w:t>
      </w:r>
      <w:r w:rsidR="004C4DF7">
        <w:t>mation is not readily available</w:t>
      </w:r>
    </w:p>
    <w:p w:rsidR="00E61CE0" w:rsidRPr="00E61CE0" w:rsidRDefault="00E61CE0" w:rsidP="003F7549">
      <w:pPr>
        <w:widowControl w:val="0"/>
        <w:numPr>
          <w:ilvl w:val="0"/>
          <w:numId w:val="5"/>
        </w:numPr>
        <w:pBdr>
          <w:top w:val="nil"/>
          <w:left w:val="nil"/>
          <w:bottom w:val="nil"/>
          <w:right w:val="nil"/>
          <w:between w:val="nil"/>
        </w:pBdr>
        <w:spacing w:line="276" w:lineRule="auto"/>
        <w:jc w:val="both"/>
      </w:pPr>
      <w:r w:rsidRPr="00E61CE0">
        <w:t xml:space="preserve">Speeds up </w:t>
      </w:r>
      <w:r w:rsidR="00855CE9">
        <w:t xml:space="preserve">patient </w:t>
      </w:r>
      <w:r w:rsidRPr="00E61CE0">
        <w:t>scanning when implant inform</w:t>
      </w:r>
      <w:r w:rsidR="004C4DF7">
        <w:t>ation may take some time to obtain</w:t>
      </w:r>
    </w:p>
    <w:p w:rsidR="00E61CE0" w:rsidRPr="00E61CE0" w:rsidRDefault="00E61CE0" w:rsidP="003F7549">
      <w:pPr>
        <w:widowControl w:val="0"/>
        <w:numPr>
          <w:ilvl w:val="0"/>
          <w:numId w:val="5"/>
        </w:numPr>
        <w:pBdr>
          <w:top w:val="nil"/>
          <w:left w:val="nil"/>
          <w:bottom w:val="nil"/>
          <w:right w:val="nil"/>
          <w:between w:val="nil"/>
        </w:pBdr>
        <w:spacing w:line="276" w:lineRule="auto"/>
        <w:jc w:val="both"/>
      </w:pPr>
      <w:r w:rsidRPr="00E61CE0">
        <w:t xml:space="preserve">Avoids unnecessary </w:t>
      </w:r>
      <w:r w:rsidR="008767B4">
        <w:t xml:space="preserve">patient </w:t>
      </w:r>
      <w:r w:rsidR="00855CE9">
        <w:t>delays, patient</w:t>
      </w:r>
      <w:r w:rsidR="004C4DF7">
        <w:t xml:space="preserve"> </w:t>
      </w:r>
      <w:r w:rsidRPr="00E61CE0">
        <w:t>cancell</w:t>
      </w:r>
      <w:r w:rsidR="004C4DF7">
        <w:t>ations</w:t>
      </w:r>
      <w:r w:rsidR="00855CE9">
        <w:t xml:space="preserve"> and patient recalls</w:t>
      </w:r>
    </w:p>
    <w:p w:rsidR="00E61CE0" w:rsidRDefault="00E61CE0" w:rsidP="003F7549">
      <w:pPr>
        <w:widowControl w:val="0"/>
        <w:numPr>
          <w:ilvl w:val="0"/>
          <w:numId w:val="5"/>
        </w:numPr>
        <w:pBdr>
          <w:top w:val="nil"/>
          <w:left w:val="nil"/>
          <w:bottom w:val="nil"/>
          <w:right w:val="nil"/>
          <w:between w:val="nil"/>
        </w:pBdr>
        <w:spacing w:line="276" w:lineRule="auto"/>
        <w:jc w:val="both"/>
      </w:pPr>
      <w:r w:rsidRPr="00E61CE0">
        <w:t xml:space="preserve">Reduces </w:t>
      </w:r>
      <w:r w:rsidR="00E47295">
        <w:t xml:space="preserve">wasted staff </w:t>
      </w:r>
      <w:r w:rsidRPr="00E61CE0">
        <w:t>resources required</w:t>
      </w:r>
      <w:r w:rsidR="008767B4">
        <w:t xml:space="preserve"> to obtain and evaluate specific</w:t>
      </w:r>
      <w:r w:rsidRPr="00E61CE0">
        <w:t xml:space="preserve"> implant information</w:t>
      </w:r>
    </w:p>
    <w:p w:rsidR="004C4DF7" w:rsidRDefault="004C4DF7" w:rsidP="003F7549">
      <w:pPr>
        <w:widowControl w:val="0"/>
        <w:numPr>
          <w:ilvl w:val="0"/>
          <w:numId w:val="5"/>
        </w:numPr>
        <w:pBdr>
          <w:top w:val="nil"/>
          <w:left w:val="nil"/>
          <w:bottom w:val="nil"/>
          <w:right w:val="nil"/>
          <w:between w:val="nil"/>
        </w:pBdr>
        <w:spacing w:line="276" w:lineRule="auto"/>
        <w:jc w:val="both"/>
      </w:pPr>
      <w:r>
        <w:t xml:space="preserve">Empowers </w:t>
      </w:r>
      <w:r w:rsidR="00855CE9">
        <w:t xml:space="preserve">and supports </w:t>
      </w:r>
      <w:r>
        <w:t>staff to make decisions</w:t>
      </w:r>
      <w:r w:rsidR="00855CE9">
        <w:t>, all day, every day</w:t>
      </w:r>
    </w:p>
    <w:p w:rsidR="00E61CE0" w:rsidRPr="00E61CE0" w:rsidRDefault="004C4DF7" w:rsidP="003F7549">
      <w:pPr>
        <w:widowControl w:val="0"/>
        <w:numPr>
          <w:ilvl w:val="0"/>
          <w:numId w:val="5"/>
        </w:numPr>
        <w:pBdr>
          <w:top w:val="nil"/>
          <w:left w:val="nil"/>
          <w:bottom w:val="nil"/>
          <w:right w:val="nil"/>
          <w:between w:val="nil"/>
        </w:pBdr>
        <w:spacing w:line="276" w:lineRule="auto"/>
        <w:jc w:val="both"/>
      </w:pPr>
      <w:r>
        <w:t xml:space="preserve">Improves consistency </w:t>
      </w:r>
      <w:r w:rsidR="00855CE9">
        <w:t>across the service, improving equality of patient access</w:t>
      </w:r>
    </w:p>
    <w:p w:rsidR="00E61CE0" w:rsidRPr="00E61CE0" w:rsidRDefault="00B51CFE" w:rsidP="003F7549">
      <w:pPr>
        <w:widowControl w:val="0"/>
        <w:pBdr>
          <w:top w:val="nil"/>
          <w:left w:val="nil"/>
          <w:bottom w:val="nil"/>
          <w:right w:val="nil"/>
          <w:between w:val="nil"/>
        </w:pBdr>
        <w:spacing w:line="276" w:lineRule="auto"/>
        <w:jc w:val="both"/>
        <w:rPr>
          <w:b/>
        </w:rPr>
      </w:pPr>
      <w:r>
        <w:rPr>
          <w:b/>
        </w:rPr>
        <w:t>Generic risks of GISP’s</w:t>
      </w:r>
    </w:p>
    <w:p w:rsidR="00E61CE0" w:rsidRDefault="008767B4" w:rsidP="003F7549">
      <w:pPr>
        <w:widowControl w:val="0"/>
        <w:numPr>
          <w:ilvl w:val="0"/>
          <w:numId w:val="3"/>
        </w:numPr>
        <w:pBdr>
          <w:top w:val="nil"/>
          <w:left w:val="nil"/>
          <w:bottom w:val="nil"/>
          <w:right w:val="nil"/>
          <w:between w:val="nil"/>
        </w:pBdr>
        <w:spacing w:line="276" w:lineRule="auto"/>
        <w:jc w:val="both"/>
        <w:rPr>
          <w:rFonts w:eastAsia="Arial" w:cs="Calibri"/>
          <w:color w:val="000000"/>
        </w:rPr>
      </w:pPr>
      <w:r>
        <w:rPr>
          <w:rFonts w:eastAsia="Arial" w:cs="Calibri"/>
          <w:color w:val="000000"/>
        </w:rPr>
        <w:t>N</w:t>
      </w:r>
      <w:r w:rsidR="00E61CE0" w:rsidRPr="00E61CE0">
        <w:rPr>
          <w:rFonts w:eastAsia="Arial" w:cs="Calibri"/>
          <w:color w:val="000000"/>
        </w:rPr>
        <w:t>ewly developed unsafe implant</w:t>
      </w:r>
    </w:p>
    <w:p w:rsidR="00E61CE0" w:rsidRDefault="008767B4" w:rsidP="003F7549">
      <w:pPr>
        <w:widowControl w:val="0"/>
        <w:numPr>
          <w:ilvl w:val="0"/>
          <w:numId w:val="3"/>
        </w:numPr>
        <w:pBdr>
          <w:top w:val="nil"/>
          <w:left w:val="nil"/>
          <w:bottom w:val="nil"/>
          <w:right w:val="nil"/>
          <w:between w:val="nil"/>
        </w:pBdr>
        <w:spacing w:line="276" w:lineRule="auto"/>
        <w:jc w:val="both"/>
        <w:rPr>
          <w:rFonts w:eastAsia="Arial" w:cs="Calibri"/>
          <w:color w:val="000000"/>
        </w:rPr>
      </w:pPr>
      <w:r>
        <w:rPr>
          <w:rFonts w:eastAsia="Arial" w:cs="Calibri"/>
          <w:color w:val="000000"/>
        </w:rPr>
        <w:t>P</w:t>
      </w:r>
      <w:r w:rsidR="00E61CE0">
        <w:rPr>
          <w:rFonts w:eastAsia="Arial" w:cs="Calibri"/>
          <w:color w:val="000000"/>
        </w:rPr>
        <w:t>reviously unidentified unsafe implant</w:t>
      </w:r>
    </w:p>
    <w:p w:rsidR="00E61CE0" w:rsidRDefault="00E61CE0" w:rsidP="003F7549">
      <w:pPr>
        <w:widowControl w:val="0"/>
        <w:numPr>
          <w:ilvl w:val="0"/>
          <w:numId w:val="3"/>
        </w:numPr>
        <w:pBdr>
          <w:top w:val="nil"/>
          <w:left w:val="nil"/>
          <w:bottom w:val="nil"/>
          <w:right w:val="nil"/>
          <w:between w:val="nil"/>
        </w:pBdr>
        <w:spacing w:line="276" w:lineRule="auto"/>
        <w:jc w:val="both"/>
        <w:rPr>
          <w:rFonts w:eastAsia="Arial" w:cs="Calibri"/>
          <w:color w:val="000000"/>
        </w:rPr>
      </w:pPr>
      <w:r>
        <w:rPr>
          <w:rFonts w:eastAsia="Arial" w:cs="Calibri"/>
          <w:color w:val="000000"/>
        </w:rPr>
        <w:t>Previously unreported implant and scanner interaction</w:t>
      </w:r>
    </w:p>
    <w:p w:rsidR="00E61CE0" w:rsidRDefault="00E61CE0" w:rsidP="003F7549">
      <w:pPr>
        <w:widowControl w:val="0"/>
        <w:numPr>
          <w:ilvl w:val="0"/>
          <w:numId w:val="3"/>
        </w:numPr>
        <w:pBdr>
          <w:top w:val="nil"/>
          <w:left w:val="nil"/>
          <w:bottom w:val="nil"/>
          <w:right w:val="nil"/>
          <w:between w:val="nil"/>
        </w:pBdr>
        <w:spacing w:line="276" w:lineRule="auto"/>
        <w:jc w:val="both"/>
        <w:rPr>
          <w:rFonts w:eastAsia="Arial" w:cs="Calibri"/>
          <w:color w:val="000000"/>
        </w:rPr>
      </w:pPr>
      <w:r>
        <w:rPr>
          <w:rFonts w:eastAsia="Arial" w:cs="Calibri"/>
          <w:color w:val="000000"/>
        </w:rPr>
        <w:t xml:space="preserve">Not all cases </w:t>
      </w:r>
      <w:r w:rsidR="008767B4">
        <w:rPr>
          <w:rFonts w:eastAsia="Arial" w:cs="Calibri"/>
          <w:color w:val="000000"/>
        </w:rPr>
        <w:t xml:space="preserve">of injuries </w:t>
      </w:r>
      <w:r>
        <w:rPr>
          <w:rFonts w:eastAsia="Arial" w:cs="Calibri"/>
          <w:color w:val="000000"/>
        </w:rPr>
        <w:t xml:space="preserve">and accidents may be in the public domain </w:t>
      </w:r>
    </w:p>
    <w:p w:rsidR="004C4DF7" w:rsidRDefault="00BB6696" w:rsidP="003F7549">
      <w:pPr>
        <w:widowControl w:val="0"/>
        <w:numPr>
          <w:ilvl w:val="0"/>
          <w:numId w:val="3"/>
        </w:numPr>
        <w:pBdr>
          <w:top w:val="nil"/>
          <w:left w:val="nil"/>
          <w:bottom w:val="nil"/>
          <w:right w:val="nil"/>
          <w:between w:val="nil"/>
        </w:pBdr>
        <w:spacing w:line="276" w:lineRule="auto"/>
        <w:jc w:val="both"/>
        <w:rPr>
          <w:rFonts w:eastAsia="Arial" w:cs="Calibri"/>
          <w:color w:val="000000"/>
        </w:rPr>
      </w:pPr>
      <w:r>
        <w:rPr>
          <w:rFonts w:eastAsia="Arial" w:cs="Calibri"/>
          <w:color w:val="000000"/>
        </w:rPr>
        <w:t xml:space="preserve">There may be </w:t>
      </w:r>
      <w:r w:rsidR="004C4DF7">
        <w:rPr>
          <w:rFonts w:eastAsia="Arial" w:cs="Calibri"/>
          <w:color w:val="000000"/>
        </w:rPr>
        <w:t xml:space="preserve">aspects of the detailed review that underpin the GISP’s that have a local bias </w:t>
      </w:r>
    </w:p>
    <w:p w:rsidR="00E61CE0" w:rsidRPr="00E61CE0" w:rsidRDefault="004C4DF7" w:rsidP="003F7549">
      <w:pPr>
        <w:widowControl w:val="0"/>
        <w:pBdr>
          <w:top w:val="nil"/>
          <w:left w:val="nil"/>
          <w:bottom w:val="nil"/>
          <w:right w:val="nil"/>
          <w:between w:val="nil"/>
        </w:pBdr>
        <w:spacing w:line="276" w:lineRule="auto"/>
        <w:jc w:val="both"/>
        <w:rPr>
          <w:rFonts w:eastAsia="Arial" w:cs="Calibri"/>
          <w:color w:val="000000"/>
        </w:rPr>
      </w:pPr>
      <w:r>
        <w:rPr>
          <w:rFonts w:eastAsia="Arial" w:cs="Calibri"/>
          <w:color w:val="000000"/>
        </w:rPr>
        <w:t>Note that the risks mentioned here and steps to mitigate them are discussed in greater depth in the risk assessments a</w:t>
      </w:r>
      <w:r w:rsidR="008512FF">
        <w:rPr>
          <w:rFonts w:eastAsia="Arial" w:cs="Calibri"/>
          <w:color w:val="000000"/>
        </w:rPr>
        <w:t>nd detailed review that underpin the GISP’s</w:t>
      </w:r>
      <w:r>
        <w:rPr>
          <w:rFonts w:eastAsia="Arial" w:cs="Calibri"/>
          <w:color w:val="000000"/>
        </w:rPr>
        <w:t xml:space="preserve">. </w:t>
      </w:r>
    </w:p>
    <w:p w:rsidR="00B51CFE" w:rsidRPr="001820E8" w:rsidRDefault="00B51CFE" w:rsidP="003F7549">
      <w:pPr>
        <w:jc w:val="both"/>
        <w:rPr>
          <w:b/>
        </w:rPr>
      </w:pPr>
    </w:p>
    <w:p w:rsidR="008512FF" w:rsidRPr="00041189" w:rsidRDefault="004E6954" w:rsidP="003F7549">
      <w:pPr>
        <w:widowControl w:val="0"/>
        <w:pBdr>
          <w:top w:val="nil"/>
          <w:left w:val="nil"/>
          <w:bottom w:val="nil"/>
          <w:right w:val="nil"/>
          <w:between w:val="nil"/>
        </w:pBdr>
        <w:spacing w:line="276" w:lineRule="auto"/>
        <w:jc w:val="both"/>
        <w:rPr>
          <w:color w:val="000000"/>
        </w:rPr>
      </w:pPr>
      <w:r w:rsidRPr="00041189">
        <w:rPr>
          <w:color w:val="000000"/>
        </w:rPr>
        <w:t>For further important information about the benefits and risks of this GISP (together with a legal disclaimer) please</w:t>
      </w:r>
      <w:r w:rsidR="00FD64BD" w:rsidRPr="00041189">
        <w:rPr>
          <w:color w:val="000000"/>
        </w:rPr>
        <w:t xml:space="preserve"> review</w:t>
      </w:r>
      <w:r w:rsidRPr="00041189">
        <w:rPr>
          <w:color w:val="000000"/>
        </w:rPr>
        <w:t xml:space="preserve"> the following link: http//www.etc.</w:t>
      </w:r>
    </w:p>
    <w:p w:rsidR="008512FF" w:rsidRDefault="008512FF" w:rsidP="003F7549">
      <w:pPr>
        <w:widowControl w:val="0"/>
        <w:pBdr>
          <w:top w:val="nil"/>
          <w:left w:val="nil"/>
          <w:bottom w:val="nil"/>
          <w:right w:val="nil"/>
          <w:between w:val="nil"/>
        </w:pBdr>
        <w:spacing w:line="276" w:lineRule="auto"/>
        <w:jc w:val="both"/>
      </w:pPr>
    </w:p>
    <w:p w:rsidR="008512FF" w:rsidRDefault="008512FF" w:rsidP="003F7549">
      <w:pPr>
        <w:widowControl w:val="0"/>
        <w:pBdr>
          <w:top w:val="nil"/>
          <w:left w:val="nil"/>
          <w:bottom w:val="nil"/>
          <w:right w:val="nil"/>
          <w:between w:val="nil"/>
        </w:pBdr>
        <w:spacing w:line="276" w:lineRule="auto"/>
        <w:jc w:val="both"/>
      </w:pPr>
    </w:p>
    <w:p w:rsidR="008512FF" w:rsidRDefault="008512FF" w:rsidP="003F7549">
      <w:pPr>
        <w:widowControl w:val="0"/>
        <w:pBdr>
          <w:top w:val="nil"/>
          <w:left w:val="nil"/>
          <w:bottom w:val="nil"/>
          <w:right w:val="nil"/>
          <w:between w:val="nil"/>
        </w:pBdr>
        <w:spacing w:line="276" w:lineRule="auto"/>
        <w:jc w:val="both"/>
      </w:pPr>
    </w:p>
    <w:p w:rsidR="008512FF" w:rsidRDefault="008512FF" w:rsidP="003F7549">
      <w:pPr>
        <w:widowControl w:val="0"/>
        <w:pBdr>
          <w:top w:val="nil"/>
          <w:left w:val="nil"/>
          <w:bottom w:val="nil"/>
          <w:right w:val="nil"/>
          <w:between w:val="nil"/>
        </w:pBdr>
        <w:spacing w:line="276" w:lineRule="auto"/>
        <w:jc w:val="both"/>
      </w:pPr>
    </w:p>
    <w:p w:rsidR="008512FF" w:rsidRDefault="008512FF" w:rsidP="003F7549">
      <w:pPr>
        <w:widowControl w:val="0"/>
        <w:pBdr>
          <w:top w:val="nil"/>
          <w:left w:val="nil"/>
          <w:bottom w:val="nil"/>
          <w:right w:val="nil"/>
          <w:between w:val="nil"/>
        </w:pBdr>
        <w:spacing w:line="276" w:lineRule="auto"/>
        <w:jc w:val="both"/>
      </w:pPr>
    </w:p>
    <w:p w:rsidR="0013673D" w:rsidRPr="0013673D" w:rsidRDefault="00B465F2" w:rsidP="00906121">
      <w:pPr>
        <w:pStyle w:val="NormalWeb"/>
        <w:jc w:val="both"/>
        <w:rPr>
          <w:rFonts w:ascii="Calibri" w:hAnsi="Calibri"/>
          <w:b/>
          <w:sz w:val="22"/>
          <w:szCs w:val="22"/>
        </w:rPr>
      </w:pPr>
      <w:r>
        <w:rPr>
          <w:rFonts w:ascii="Calibri" w:hAnsi="Calibri"/>
          <w:b/>
          <w:sz w:val="22"/>
          <w:szCs w:val="22"/>
        </w:rPr>
        <w:t>GISP #</w:t>
      </w:r>
      <w:r w:rsidR="00365859">
        <w:rPr>
          <w:rFonts w:ascii="Calibri" w:hAnsi="Calibri"/>
          <w:b/>
          <w:sz w:val="22"/>
          <w:szCs w:val="22"/>
        </w:rPr>
        <w:t>20</w:t>
      </w:r>
      <w:r>
        <w:rPr>
          <w:rFonts w:ascii="Calibri" w:hAnsi="Calibri"/>
          <w:b/>
          <w:sz w:val="22"/>
          <w:szCs w:val="22"/>
        </w:rPr>
        <w:t xml:space="preserve"> - </w:t>
      </w:r>
      <w:r w:rsidR="00CE205C" w:rsidRPr="00CE205C">
        <w:rPr>
          <w:rFonts w:ascii="Calibri" w:hAnsi="Calibri" w:cs="Calibri"/>
          <w:b/>
          <w:color w:val="000000"/>
        </w:rPr>
        <w:t xml:space="preserve">MRI Generic Implant Safety Policy (GISP) for </w:t>
      </w:r>
      <w:r w:rsidR="00365859">
        <w:rPr>
          <w:rFonts w:ascii="Calibri" w:hAnsi="Calibri" w:cs="Calibri"/>
          <w:b/>
          <w:color w:val="000000"/>
        </w:rPr>
        <w:t>Non-Coronary Vascular Stents</w:t>
      </w:r>
    </w:p>
    <w:p w:rsidR="0013673D" w:rsidRPr="0013673D" w:rsidRDefault="00212210" w:rsidP="0048225D">
      <w:pPr>
        <w:pStyle w:val="NormalWeb"/>
        <w:jc w:val="both"/>
        <w:rPr>
          <w:rFonts w:ascii="Calibri" w:hAnsi="Calibri"/>
          <w:b/>
          <w:sz w:val="22"/>
          <w:szCs w:val="22"/>
        </w:rPr>
      </w:pPr>
      <w:r>
        <w:rPr>
          <w:rFonts w:ascii="Calibri" w:hAnsi="Calibri"/>
          <w:b/>
          <w:sz w:val="22"/>
          <w:szCs w:val="22"/>
        </w:rPr>
        <w:t>Brief d</w:t>
      </w:r>
      <w:r w:rsidR="0013673D" w:rsidRPr="0013673D">
        <w:rPr>
          <w:rFonts w:ascii="Calibri" w:hAnsi="Calibri"/>
          <w:b/>
          <w:sz w:val="22"/>
          <w:szCs w:val="22"/>
        </w:rPr>
        <w:t>escription</w:t>
      </w:r>
      <w:r w:rsidR="00905E5C">
        <w:rPr>
          <w:rFonts w:ascii="Calibri" w:hAnsi="Calibri"/>
          <w:b/>
          <w:sz w:val="22"/>
          <w:szCs w:val="22"/>
        </w:rPr>
        <w:t xml:space="preserve"> (Non-Coronary Vascular Stents)</w:t>
      </w:r>
      <w:r w:rsidR="0013673D" w:rsidRPr="0013673D">
        <w:rPr>
          <w:rFonts w:ascii="Calibri" w:hAnsi="Calibri"/>
          <w:b/>
          <w:sz w:val="22"/>
          <w:szCs w:val="22"/>
        </w:rPr>
        <w:t>:</w:t>
      </w:r>
    </w:p>
    <w:p w:rsidR="00202A7B" w:rsidRPr="00D53A4F" w:rsidRDefault="00905E5C" w:rsidP="00202A7B">
      <w:pPr>
        <w:pStyle w:val="NormalWeb"/>
        <w:numPr>
          <w:ilvl w:val="0"/>
          <w:numId w:val="9"/>
        </w:numPr>
        <w:jc w:val="both"/>
        <w:rPr>
          <w:rStyle w:val="Strong"/>
          <w:rFonts w:ascii="Calibri" w:hAnsi="Calibri" w:cs="Calibri"/>
          <w:b w:val="0"/>
          <w:sz w:val="22"/>
          <w:szCs w:val="22"/>
        </w:rPr>
      </w:pPr>
      <w:r w:rsidRPr="00D53A4F">
        <w:rPr>
          <w:rStyle w:val="Strong"/>
          <w:rFonts w:ascii="Calibri" w:hAnsi="Calibri" w:cs="Calibri"/>
          <w:b w:val="0"/>
          <w:sz w:val="22"/>
          <w:szCs w:val="22"/>
        </w:rPr>
        <w:t>A</w:t>
      </w:r>
      <w:r w:rsidR="00202A7B" w:rsidRPr="00D53A4F">
        <w:rPr>
          <w:rStyle w:val="Strong"/>
          <w:rFonts w:ascii="Calibri" w:hAnsi="Calibri" w:cs="Calibri"/>
          <w:b w:val="0"/>
          <w:sz w:val="22"/>
          <w:szCs w:val="22"/>
        </w:rPr>
        <w:t>re u</w:t>
      </w:r>
      <w:r w:rsidR="0013673D" w:rsidRPr="00D53A4F">
        <w:rPr>
          <w:rStyle w:val="Strong"/>
          <w:rFonts w:ascii="Calibri" w:hAnsi="Calibri" w:cs="Calibri"/>
          <w:b w:val="0"/>
          <w:sz w:val="22"/>
          <w:szCs w:val="22"/>
        </w:rPr>
        <w:t xml:space="preserve">sed </w:t>
      </w:r>
      <w:r w:rsidR="00202A7B" w:rsidRPr="00D53A4F">
        <w:rPr>
          <w:rStyle w:val="Strong"/>
          <w:rFonts w:ascii="Calibri" w:hAnsi="Calibri" w:cs="Calibri"/>
          <w:b w:val="0"/>
          <w:sz w:val="22"/>
          <w:szCs w:val="22"/>
        </w:rPr>
        <w:t xml:space="preserve">in angioplasty and </w:t>
      </w:r>
      <w:proofErr w:type="spellStart"/>
      <w:r w:rsidR="00202A7B" w:rsidRPr="00D53A4F">
        <w:rPr>
          <w:rStyle w:val="Strong"/>
          <w:rFonts w:ascii="Calibri" w:hAnsi="Calibri" w:cs="Calibri"/>
          <w:b w:val="0"/>
          <w:sz w:val="22"/>
          <w:szCs w:val="22"/>
        </w:rPr>
        <w:t>stenting</w:t>
      </w:r>
      <w:proofErr w:type="spellEnd"/>
      <w:r w:rsidR="00202A7B" w:rsidRPr="00D53A4F">
        <w:rPr>
          <w:rStyle w:val="Strong"/>
          <w:rFonts w:ascii="Calibri" w:hAnsi="Calibri" w:cs="Calibri"/>
          <w:b w:val="0"/>
          <w:sz w:val="22"/>
          <w:szCs w:val="22"/>
        </w:rPr>
        <w:t xml:space="preserve"> procedures involving major arteries in the body.</w:t>
      </w:r>
    </w:p>
    <w:p w:rsidR="00202A7B" w:rsidRPr="00D53A4F" w:rsidRDefault="00905E5C" w:rsidP="00202A7B">
      <w:pPr>
        <w:pStyle w:val="NormalWeb"/>
        <w:numPr>
          <w:ilvl w:val="0"/>
          <w:numId w:val="9"/>
        </w:numPr>
        <w:jc w:val="both"/>
        <w:rPr>
          <w:rStyle w:val="Strong"/>
          <w:rFonts w:ascii="Calibri" w:hAnsi="Calibri" w:cs="Calibri"/>
          <w:b w:val="0"/>
          <w:sz w:val="22"/>
          <w:szCs w:val="22"/>
        </w:rPr>
      </w:pPr>
      <w:r w:rsidRPr="00D53A4F">
        <w:rPr>
          <w:rStyle w:val="Strong"/>
          <w:rFonts w:ascii="Calibri" w:hAnsi="Calibri" w:cs="Calibri"/>
          <w:b w:val="0"/>
          <w:sz w:val="22"/>
          <w:szCs w:val="22"/>
        </w:rPr>
        <w:t>May</w:t>
      </w:r>
      <w:r w:rsidR="00202A7B" w:rsidRPr="00D53A4F">
        <w:rPr>
          <w:rStyle w:val="Strong"/>
          <w:rFonts w:ascii="Calibri" w:hAnsi="Calibri" w:cs="Calibri"/>
          <w:b w:val="0"/>
          <w:sz w:val="22"/>
          <w:szCs w:val="22"/>
        </w:rPr>
        <w:t xml:space="preserve"> be used in multiple – covering </w:t>
      </w:r>
      <w:r w:rsidRPr="00D53A4F">
        <w:rPr>
          <w:rStyle w:val="Strong"/>
          <w:rFonts w:ascii="Calibri" w:hAnsi="Calibri" w:cs="Calibri"/>
          <w:b w:val="0"/>
          <w:sz w:val="22"/>
          <w:szCs w:val="22"/>
        </w:rPr>
        <w:t>a longer range</w:t>
      </w:r>
      <w:r w:rsidR="00202A7B" w:rsidRPr="00D53A4F">
        <w:rPr>
          <w:rStyle w:val="Strong"/>
          <w:rFonts w:ascii="Calibri" w:hAnsi="Calibri" w:cs="Calibri"/>
          <w:b w:val="0"/>
          <w:sz w:val="22"/>
          <w:szCs w:val="22"/>
        </w:rPr>
        <w:t xml:space="preserve"> than a single stent alone.</w:t>
      </w:r>
    </w:p>
    <w:p w:rsidR="00202A7B" w:rsidRPr="00D53A4F" w:rsidRDefault="008F4913" w:rsidP="00202A7B">
      <w:pPr>
        <w:pStyle w:val="NormalWeb"/>
        <w:numPr>
          <w:ilvl w:val="0"/>
          <w:numId w:val="9"/>
        </w:numPr>
        <w:jc w:val="both"/>
        <w:rPr>
          <w:rStyle w:val="Strong"/>
          <w:rFonts w:ascii="Calibri" w:hAnsi="Calibri" w:cs="Calibri"/>
          <w:b w:val="0"/>
          <w:sz w:val="22"/>
          <w:szCs w:val="22"/>
        </w:rPr>
      </w:pPr>
      <w:r w:rsidRPr="00D53A4F">
        <w:rPr>
          <w:rStyle w:val="Strong"/>
          <w:rFonts w:ascii="Calibri" w:hAnsi="Calibri" w:cs="Calibri"/>
          <w:b w:val="0"/>
          <w:sz w:val="22"/>
          <w:szCs w:val="22"/>
        </w:rPr>
        <w:t xml:space="preserve">Are </w:t>
      </w:r>
      <w:r w:rsidR="009B772B" w:rsidRPr="00D53A4F">
        <w:rPr>
          <w:rStyle w:val="Strong"/>
          <w:rFonts w:ascii="Calibri" w:hAnsi="Calibri" w:cs="Calibri"/>
          <w:b w:val="0"/>
          <w:sz w:val="22"/>
          <w:szCs w:val="22"/>
        </w:rPr>
        <w:t xml:space="preserve">usually </w:t>
      </w:r>
      <w:r w:rsidRPr="00D53A4F">
        <w:rPr>
          <w:rStyle w:val="Strong"/>
          <w:rFonts w:ascii="Calibri" w:hAnsi="Calibri" w:cs="Calibri"/>
          <w:b w:val="0"/>
          <w:sz w:val="22"/>
          <w:szCs w:val="22"/>
        </w:rPr>
        <w:t>c</w:t>
      </w:r>
      <w:r w:rsidR="00202A7B" w:rsidRPr="00D53A4F">
        <w:rPr>
          <w:rStyle w:val="Strong"/>
          <w:rFonts w:ascii="Calibri" w:hAnsi="Calibri" w:cs="Calibri"/>
          <w:b w:val="0"/>
          <w:sz w:val="22"/>
          <w:szCs w:val="22"/>
        </w:rPr>
        <w:t>onstructed from</w:t>
      </w:r>
      <w:r w:rsidR="00556CE9" w:rsidRPr="00D53A4F">
        <w:rPr>
          <w:rStyle w:val="Strong"/>
          <w:rFonts w:ascii="Calibri" w:hAnsi="Calibri" w:cs="Calibri"/>
          <w:b w:val="0"/>
          <w:sz w:val="22"/>
          <w:szCs w:val="22"/>
        </w:rPr>
        <w:t xml:space="preserve"> non-ferrous o</w:t>
      </w:r>
      <w:r w:rsidRPr="00D53A4F">
        <w:rPr>
          <w:rStyle w:val="Strong"/>
          <w:rFonts w:ascii="Calibri" w:hAnsi="Calibri" w:cs="Calibri"/>
          <w:b w:val="0"/>
          <w:sz w:val="22"/>
          <w:szCs w:val="22"/>
        </w:rPr>
        <w:t>r</w:t>
      </w:r>
      <w:r w:rsidR="00556CE9" w:rsidRPr="00D53A4F">
        <w:rPr>
          <w:rStyle w:val="Strong"/>
          <w:rFonts w:ascii="Calibri" w:hAnsi="Calibri" w:cs="Calibri"/>
          <w:b w:val="0"/>
          <w:sz w:val="22"/>
          <w:szCs w:val="22"/>
        </w:rPr>
        <w:t xml:space="preserve"> </w:t>
      </w:r>
      <w:r w:rsidR="009B772B" w:rsidRPr="00D53A4F">
        <w:rPr>
          <w:rStyle w:val="Strong"/>
          <w:rFonts w:ascii="Calibri" w:hAnsi="Calibri" w:cs="Calibri"/>
          <w:b w:val="0"/>
          <w:sz w:val="22"/>
          <w:szCs w:val="22"/>
        </w:rPr>
        <w:t xml:space="preserve">very </w:t>
      </w:r>
      <w:r w:rsidR="00556CE9" w:rsidRPr="00D53A4F">
        <w:rPr>
          <w:rStyle w:val="Strong"/>
          <w:rFonts w:ascii="Calibri" w:hAnsi="Calibri" w:cs="Calibri"/>
          <w:b w:val="0"/>
          <w:sz w:val="22"/>
          <w:szCs w:val="22"/>
        </w:rPr>
        <w:t>weakly ferrous metal</w:t>
      </w:r>
      <w:r w:rsidR="009B772B" w:rsidRPr="00D53A4F">
        <w:rPr>
          <w:rStyle w:val="Strong"/>
          <w:rFonts w:ascii="Calibri" w:hAnsi="Calibri" w:cs="Calibri"/>
          <w:b w:val="0"/>
          <w:sz w:val="22"/>
          <w:szCs w:val="22"/>
        </w:rPr>
        <w:t>s</w:t>
      </w:r>
      <w:r w:rsidRPr="00D53A4F">
        <w:rPr>
          <w:rStyle w:val="Strong"/>
          <w:rFonts w:ascii="Calibri" w:hAnsi="Calibri" w:cs="Calibri"/>
          <w:b w:val="0"/>
          <w:sz w:val="22"/>
          <w:szCs w:val="22"/>
        </w:rPr>
        <w:t xml:space="preserve"> (e.g. </w:t>
      </w:r>
      <w:r w:rsidR="00556CE9" w:rsidRPr="00D53A4F">
        <w:rPr>
          <w:rStyle w:val="Strong"/>
          <w:rFonts w:ascii="Calibri" w:hAnsi="Calibri" w:cs="Calibri"/>
          <w:b w:val="0"/>
          <w:sz w:val="22"/>
          <w:szCs w:val="22"/>
        </w:rPr>
        <w:t xml:space="preserve">titanium, </w:t>
      </w:r>
      <w:proofErr w:type="spellStart"/>
      <w:r w:rsidR="00556CE9" w:rsidRPr="00D53A4F">
        <w:rPr>
          <w:rStyle w:val="Strong"/>
          <w:rFonts w:ascii="Calibri" w:hAnsi="Calibri" w:cs="Calibri"/>
          <w:b w:val="0"/>
          <w:sz w:val="22"/>
          <w:szCs w:val="22"/>
        </w:rPr>
        <w:t>nitinol</w:t>
      </w:r>
      <w:proofErr w:type="spellEnd"/>
      <w:r w:rsidR="00556CE9" w:rsidRPr="00D53A4F">
        <w:rPr>
          <w:rStyle w:val="Strong"/>
          <w:rFonts w:ascii="Calibri" w:hAnsi="Calibri" w:cs="Calibri"/>
          <w:b w:val="0"/>
          <w:sz w:val="22"/>
          <w:szCs w:val="22"/>
        </w:rPr>
        <w:t xml:space="preserve">, 316L </w:t>
      </w:r>
      <w:r w:rsidR="00202A7B" w:rsidRPr="00D53A4F">
        <w:rPr>
          <w:rStyle w:val="Strong"/>
          <w:rFonts w:ascii="Calibri" w:hAnsi="Calibri" w:cs="Calibri"/>
          <w:b w:val="0"/>
          <w:sz w:val="22"/>
          <w:szCs w:val="22"/>
        </w:rPr>
        <w:t>stainless steel</w:t>
      </w:r>
      <w:r w:rsidR="00556CE9" w:rsidRPr="00D53A4F">
        <w:rPr>
          <w:rStyle w:val="Strong"/>
          <w:rFonts w:ascii="Calibri" w:hAnsi="Calibri" w:cs="Calibri"/>
          <w:b w:val="0"/>
          <w:sz w:val="22"/>
          <w:szCs w:val="22"/>
        </w:rPr>
        <w:t>)</w:t>
      </w:r>
      <w:r w:rsidR="00202A7B" w:rsidRPr="00D53A4F">
        <w:rPr>
          <w:rStyle w:val="Strong"/>
          <w:rFonts w:ascii="Calibri" w:hAnsi="Calibri" w:cs="Calibri"/>
          <w:b w:val="0"/>
          <w:sz w:val="22"/>
          <w:szCs w:val="22"/>
        </w:rPr>
        <w:t>.</w:t>
      </w:r>
    </w:p>
    <w:p w:rsidR="00D53A4F" w:rsidRDefault="0013673D" w:rsidP="00D53A4F">
      <w:pPr>
        <w:pStyle w:val="NormalWeb"/>
        <w:jc w:val="both"/>
        <w:rPr>
          <w:rStyle w:val="Strong"/>
          <w:rFonts w:ascii="Calibri" w:hAnsi="Calibri" w:cs="Calibri"/>
          <w:color w:val="000000"/>
          <w:sz w:val="22"/>
          <w:szCs w:val="22"/>
        </w:rPr>
      </w:pPr>
      <w:r w:rsidRPr="0013673D">
        <w:rPr>
          <w:rStyle w:val="Strong"/>
          <w:rFonts w:ascii="Calibri" w:hAnsi="Calibri" w:cs="Calibri"/>
          <w:color w:val="000000"/>
          <w:sz w:val="22"/>
          <w:szCs w:val="22"/>
        </w:rPr>
        <w:t>What the policy covers</w:t>
      </w:r>
      <w:r>
        <w:rPr>
          <w:rStyle w:val="Strong"/>
          <w:rFonts w:ascii="Calibri" w:hAnsi="Calibri" w:cs="Calibri"/>
          <w:color w:val="000000"/>
          <w:sz w:val="22"/>
          <w:szCs w:val="22"/>
        </w:rPr>
        <w:t>:</w:t>
      </w:r>
    </w:p>
    <w:p w:rsidR="0013673D" w:rsidRPr="00D53A4F" w:rsidRDefault="00B465F2" w:rsidP="00D53A4F">
      <w:pPr>
        <w:pStyle w:val="NormalWeb"/>
        <w:jc w:val="both"/>
        <w:rPr>
          <w:rFonts w:ascii="Calibri" w:hAnsi="Calibri" w:cs="Calibri"/>
          <w:b/>
          <w:bCs/>
          <w:color w:val="000000"/>
          <w:sz w:val="22"/>
          <w:szCs w:val="22"/>
        </w:rPr>
      </w:pPr>
      <w:r w:rsidRPr="00D53A4F">
        <w:rPr>
          <w:rFonts w:ascii="Calibri" w:hAnsi="Calibri" w:cs="Calibri"/>
          <w:sz w:val="22"/>
          <w:szCs w:val="22"/>
        </w:rPr>
        <w:t xml:space="preserve">Commercial </w:t>
      </w:r>
      <w:r w:rsidR="00202A7B" w:rsidRPr="00D53A4F">
        <w:rPr>
          <w:rFonts w:ascii="Calibri" w:hAnsi="Calibri" w:cs="Calibri"/>
          <w:sz w:val="22"/>
          <w:szCs w:val="22"/>
        </w:rPr>
        <w:t>non-coronary vascular stents</w:t>
      </w:r>
      <w:r w:rsidR="0013673D" w:rsidRPr="00D53A4F">
        <w:rPr>
          <w:rFonts w:ascii="Calibri" w:hAnsi="Calibri" w:cs="Calibri"/>
          <w:sz w:val="22"/>
          <w:szCs w:val="22"/>
        </w:rPr>
        <w:t xml:space="preserve">, where the specific make and model of the </w:t>
      </w:r>
      <w:r w:rsidRPr="00D53A4F">
        <w:rPr>
          <w:rFonts w:ascii="Calibri" w:hAnsi="Calibri" w:cs="Calibri"/>
          <w:sz w:val="22"/>
          <w:szCs w:val="22"/>
        </w:rPr>
        <w:t>implant is not available</w:t>
      </w:r>
      <w:r w:rsidR="0013673D" w:rsidRPr="00D53A4F">
        <w:rPr>
          <w:rFonts w:ascii="Calibri" w:hAnsi="Calibri" w:cs="Calibri"/>
          <w:sz w:val="22"/>
          <w:szCs w:val="22"/>
        </w:rPr>
        <w:t>.</w:t>
      </w:r>
      <w:r w:rsidR="002606AA" w:rsidRPr="00D53A4F">
        <w:rPr>
          <w:rFonts w:ascii="Calibri" w:hAnsi="Calibri" w:cs="Calibri"/>
          <w:sz w:val="22"/>
          <w:szCs w:val="22"/>
        </w:rPr>
        <w:t xml:space="preserve">  Specific conditions:</w:t>
      </w:r>
    </w:p>
    <w:p w:rsidR="00711D7E" w:rsidRPr="007721E4" w:rsidRDefault="002606AA" w:rsidP="007721E4">
      <w:pPr>
        <w:pStyle w:val="NormalWeb"/>
        <w:numPr>
          <w:ilvl w:val="0"/>
          <w:numId w:val="18"/>
        </w:numPr>
        <w:ind w:left="709"/>
        <w:jc w:val="both"/>
        <w:rPr>
          <w:rFonts w:ascii="Calibri" w:hAnsi="Calibri" w:cs="Calibri"/>
          <w:b/>
          <w:bCs/>
          <w:color w:val="FF0000"/>
          <w:sz w:val="22"/>
          <w:szCs w:val="22"/>
        </w:rPr>
      </w:pPr>
      <w:r w:rsidRPr="007721E4">
        <w:rPr>
          <w:rFonts w:ascii="Calibri" w:hAnsi="Calibri" w:cs="Calibri"/>
          <w:color w:val="FF0000"/>
          <w:sz w:val="22"/>
          <w:szCs w:val="22"/>
        </w:rPr>
        <w:t>Valid for</w:t>
      </w:r>
      <w:r w:rsidR="004338F1" w:rsidRPr="007721E4">
        <w:rPr>
          <w:rFonts w:ascii="Calibri" w:hAnsi="Calibri" w:cs="Calibri"/>
          <w:color w:val="FF0000"/>
          <w:sz w:val="22"/>
          <w:szCs w:val="22"/>
        </w:rPr>
        <w:t xml:space="preserve"> any non-coronary vascular stent that has</w:t>
      </w:r>
      <w:r w:rsidR="007721E4" w:rsidRPr="007721E4">
        <w:rPr>
          <w:rFonts w:ascii="Calibri" w:hAnsi="Calibri" w:cs="Calibri"/>
          <w:color w:val="FF0000"/>
          <w:sz w:val="22"/>
          <w:szCs w:val="22"/>
        </w:rPr>
        <w:t xml:space="preserve"> been implanted -</w:t>
      </w:r>
      <w:r w:rsidR="004338F1" w:rsidRPr="007721E4">
        <w:rPr>
          <w:rFonts w:ascii="Calibri" w:hAnsi="Calibri" w:cs="Calibri"/>
          <w:color w:val="FF0000"/>
          <w:sz w:val="22"/>
          <w:szCs w:val="22"/>
        </w:rPr>
        <w:t xml:space="preserve"> inserted correctly and functioning as intended.</w:t>
      </w:r>
    </w:p>
    <w:p w:rsidR="0070762E" w:rsidRPr="00D53A4F" w:rsidRDefault="0070762E" w:rsidP="00D53A4F">
      <w:pPr>
        <w:pStyle w:val="NormalWeb"/>
        <w:numPr>
          <w:ilvl w:val="0"/>
          <w:numId w:val="18"/>
        </w:numPr>
        <w:ind w:left="709"/>
        <w:jc w:val="both"/>
        <w:rPr>
          <w:rFonts w:ascii="Calibri" w:hAnsi="Calibri" w:cs="Calibri"/>
          <w:b/>
          <w:bCs/>
          <w:sz w:val="22"/>
          <w:szCs w:val="22"/>
        </w:rPr>
      </w:pPr>
      <w:r w:rsidRPr="00D53A4F">
        <w:rPr>
          <w:rFonts w:ascii="Calibri" w:hAnsi="Calibri" w:cs="Calibri"/>
          <w:sz w:val="22"/>
          <w:szCs w:val="22"/>
        </w:rPr>
        <w:t xml:space="preserve">Valid for MR scanning </w:t>
      </w:r>
      <w:r w:rsidR="00D03660" w:rsidRPr="00D53A4F">
        <w:rPr>
          <w:rFonts w:ascii="Calibri" w:hAnsi="Calibri" w:cs="Calibri"/>
          <w:sz w:val="22"/>
          <w:szCs w:val="22"/>
        </w:rPr>
        <w:t>if</w:t>
      </w:r>
      <w:r w:rsidRPr="00D53A4F">
        <w:rPr>
          <w:rFonts w:ascii="Calibri" w:hAnsi="Calibri" w:cs="Calibri"/>
          <w:sz w:val="22"/>
          <w:szCs w:val="22"/>
        </w:rPr>
        <w:t xml:space="preserve"> t</w:t>
      </w:r>
      <w:r w:rsidR="00D03660" w:rsidRPr="00D53A4F">
        <w:rPr>
          <w:rFonts w:ascii="Calibri" w:hAnsi="Calibri" w:cs="Calibri"/>
          <w:sz w:val="22"/>
          <w:szCs w:val="22"/>
        </w:rPr>
        <w:t>he implant has been in place</w:t>
      </w:r>
      <w:r w:rsidR="00D53A4F">
        <w:rPr>
          <w:rFonts w:ascii="Calibri" w:hAnsi="Calibri" w:cs="Calibri"/>
          <w:sz w:val="22"/>
          <w:szCs w:val="22"/>
        </w:rPr>
        <w:t xml:space="preserve"> at least</w:t>
      </w:r>
      <w:r w:rsidRPr="00D53A4F">
        <w:rPr>
          <w:rFonts w:ascii="Calibri" w:hAnsi="Calibri" w:cs="Calibri"/>
          <w:sz w:val="22"/>
          <w:szCs w:val="22"/>
        </w:rPr>
        <w:t xml:space="preserve"> </w:t>
      </w:r>
      <w:r w:rsidR="007D31FC" w:rsidRPr="00D53A4F">
        <w:rPr>
          <w:rFonts w:ascii="Calibri" w:hAnsi="Calibri" w:cs="Calibri"/>
          <w:sz w:val="22"/>
          <w:szCs w:val="22"/>
        </w:rPr>
        <w:t>6</w:t>
      </w:r>
      <w:r w:rsidRPr="00D53A4F">
        <w:rPr>
          <w:rFonts w:ascii="Calibri" w:hAnsi="Calibri" w:cs="Calibri"/>
          <w:sz w:val="22"/>
          <w:szCs w:val="22"/>
        </w:rPr>
        <w:t xml:space="preserve"> weeks post surgery.  If scanning is required within this timescale then a </w:t>
      </w:r>
      <w:r w:rsidR="00D53A4F">
        <w:rPr>
          <w:rFonts w:ascii="Calibri" w:hAnsi="Calibri" w:cs="Calibri"/>
          <w:sz w:val="22"/>
          <w:szCs w:val="22"/>
        </w:rPr>
        <w:t>standard MRI safety assessment should be sought (where make/model details may be ascertained).</w:t>
      </w:r>
    </w:p>
    <w:p w:rsidR="00711D7E" w:rsidRPr="00D53A4F" w:rsidRDefault="00742C27" w:rsidP="00D53A4F">
      <w:pPr>
        <w:pStyle w:val="NormalWeb"/>
        <w:numPr>
          <w:ilvl w:val="0"/>
          <w:numId w:val="18"/>
        </w:numPr>
        <w:ind w:left="709"/>
        <w:jc w:val="both"/>
        <w:rPr>
          <w:rFonts w:ascii="Calibri" w:hAnsi="Calibri" w:cs="Calibri"/>
          <w:b/>
          <w:bCs/>
          <w:sz w:val="22"/>
          <w:szCs w:val="22"/>
        </w:rPr>
      </w:pPr>
      <w:r w:rsidRPr="00D53A4F">
        <w:rPr>
          <w:rFonts w:ascii="Calibri" w:hAnsi="Calibri" w:cs="Calibri"/>
          <w:sz w:val="22"/>
          <w:szCs w:val="22"/>
        </w:rPr>
        <w:t>Valid for scanning at 1.5</w:t>
      </w:r>
      <w:r w:rsidR="002847E3" w:rsidRPr="00D53A4F">
        <w:rPr>
          <w:rFonts w:ascii="Calibri" w:hAnsi="Calibri" w:cs="Calibri"/>
          <w:sz w:val="22"/>
          <w:szCs w:val="22"/>
        </w:rPr>
        <w:t xml:space="preserve"> and 3</w:t>
      </w:r>
      <w:r w:rsidR="00F1309F" w:rsidRPr="00D53A4F">
        <w:rPr>
          <w:rFonts w:ascii="Calibri" w:hAnsi="Calibri" w:cs="Calibri"/>
          <w:sz w:val="22"/>
          <w:szCs w:val="22"/>
        </w:rPr>
        <w:t>T</w:t>
      </w:r>
      <w:r w:rsidRPr="00D53A4F">
        <w:rPr>
          <w:rFonts w:ascii="Calibri" w:hAnsi="Calibri" w:cs="Calibri"/>
          <w:sz w:val="22"/>
          <w:szCs w:val="22"/>
        </w:rPr>
        <w:t xml:space="preserve"> in the normal mode of operation</w:t>
      </w:r>
      <w:r w:rsidR="004338F1" w:rsidRPr="00D53A4F">
        <w:rPr>
          <w:rFonts w:ascii="Calibri" w:hAnsi="Calibri" w:cs="Calibri"/>
          <w:sz w:val="22"/>
          <w:szCs w:val="22"/>
        </w:rPr>
        <w:t xml:space="preserve">, provided that </w:t>
      </w:r>
      <w:r w:rsidR="00D55EC1" w:rsidRPr="00D53A4F">
        <w:rPr>
          <w:rFonts w:ascii="Calibri" w:hAnsi="Calibri" w:cs="Calibri"/>
          <w:sz w:val="22"/>
          <w:szCs w:val="22"/>
        </w:rPr>
        <w:t xml:space="preserve">a short delay </w:t>
      </w:r>
      <w:r w:rsidR="00272B83" w:rsidRPr="00D53A4F">
        <w:rPr>
          <w:rFonts w:ascii="Calibri" w:hAnsi="Calibri" w:cs="Calibri"/>
          <w:sz w:val="22"/>
          <w:szCs w:val="22"/>
        </w:rPr>
        <w:t xml:space="preserve">of around </w:t>
      </w:r>
      <w:r w:rsidR="00D53A4F">
        <w:rPr>
          <w:rFonts w:ascii="Calibri" w:hAnsi="Calibri" w:cs="Calibri"/>
          <w:sz w:val="22"/>
          <w:szCs w:val="22"/>
        </w:rPr>
        <w:t xml:space="preserve">20 </w:t>
      </w:r>
      <w:r w:rsidR="00272B83" w:rsidRPr="00D53A4F">
        <w:rPr>
          <w:rFonts w:ascii="Calibri" w:hAnsi="Calibri" w:cs="Calibri"/>
          <w:sz w:val="22"/>
          <w:szCs w:val="22"/>
        </w:rPr>
        <w:t xml:space="preserve">seconds </w:t>
      </w:r>
      <w:r w:rsidR="00F1309F" w:rsidRPr="00D53A4F">
        <w:rPr>
          <w:rFonts w:ascii="Calibri" w:hAnsi="Calibri" w:cs="Calibri"/>
          <w:sz w:val="22"/>
          <w:szCs w:val="22"/>
        </w:rPr>
        <w:t>is</w:t>
      </w:r>
      <w:r w:rsidR="00D55EC1" w:rsidRPr="00D53A4F">
        <w:rPr>
          <w:rFonts w:ascii="Calibri" w:hAnsi="Calibri" w:cs="Calibri"/>
          <w:sz w:val="22"/>
          <w:szCs w:val="22"/>
        </w:rPr>
        <w:t xml:space="preserve"> implemented between consecutive pulse sequences to avoid </w:t>
      </w:r>
      <w:r w:rsidR="004338F1" w:rsidRPr="00D53A4F">
        <w:rPr>
          <w:rFonts w:ascii="Calibri" w:hAnsi="Calibri" w:cs="Calibri"/>
          <w:sz w:val="22"/>
          <w:szCs w:val="22"/>
        </w:rPr>
        <w:t>‘sequence stacking’</w:t>
      </w:r>
      <w:r w:rsidR="00F1309F" w:rsidRPr="00D53A4F">
        <w:rPr>
          <w:rFonts w:ascii="Calibri" w:hAnsi="Calibri" w:cs="Calibri"/>
          <w:sz w:val="22"/>
          <w:szCs w:val="22"/>
        </w:rPr>
        <w:t>, and a single sequence should not exceed 15 minutes duration.</w:t>
      </w:r>
    </w:p>
    <w:p w:rsidR="0013673D" w:rsidRPr="0013673D" w:rsidRDefault="0013673D" w:rsidP="00906121">
      <w:pPr>
        <w:pStyle w:val="NormalWeb"/>
        <w:jc w:val="both"/>
        <w:rPr>
          <w:rStyle w:val="Strong"/>
          <w:rFonts w:ascii="Calibri" w:hAnsi="Calibri" w:cs="Calibri"/>
          <w:color w:val="000000"/>
          <w:sz w:val="22"/>
          <w:szCs w:val="22"/>
        </w:rPr>
      </w:pPr>
      <w:r w:rsidRPr="0013673D">
        <w:rPr>
          <w:rStyle w:val="Strong"/>
          <w:rFonts w:ascii="Calibri" w:hAnsi="Calibri" w:cs="Calibri"/>
          <w:color w:val="000000"/>
          <w:sz w:val="22"/>
          <w:szCs w:val="22"/>
        </w:rPr>
        <w:t xml:space="preserve">What this policy </w:t>
      </w:r>
      <w:r w:rsidRPr="0013673D">
        <w:rPr>
          <w:rStyle w:val="Strong"/>
          <w:rFonts w:ascii="Calibri" w:hAnsi="Calibri" w:cs="Calibri"/>
          <w:color w:val="000000"/>
          <w:sz w:val="22"/>
          <w:szCs w:val="22"/>
          <w:u w:val="single"/>
        </w:rPr>
        <w:t>does not</w:t>
      </w:r>
      <w:r w:rsidRPr="0013673D">
        <w:rPr>
          <w:rStyle w:val="Strong"/>
          <w:rFonts w:ascii="Calibri" w:hAnsi="Calibri" w:cs="Calibri"/>
          <w:color w:val="000000"/>
          <w:sz w:val="22"/>
          <w:szCs w:val="22"/>
        </w:rPr>
        <w:t xml:space="preserve"> cover, including notable exceptions</w:t>
      </w:r>
      <w:r>
        <w:rPr>
          <w:rStyle w:val="Strong"/>
          <w:rFonts w:ascii="Calibri" w:hAnsi="Calibri" w:cs="Calibri"/>
          <w:color w:val="000000"/>
          <w:sz w:val="22"/>
          <w:szCs w:val="22"/>
        </w:rPr>
        <w:t>:</w:t>
      </w:r>
    </w:p>
    <w:p w:rsidR="0013673D" w:rsidRPr="00837A9F" w:rsidRDefault="0013673D" w:rsidP="00906121">
      <w:pPr>
        <w:pStyle w:val="NoSpacing"/>
        <w:numPr>
          <w:ilvl w:val="0"/>
          <w:numId w:val="8"/>
        </w:numPr>
        <w:jc w:val="both"/>
        <w:rPr>
          <w:rStyle w:val="Strong"/>
          <w:rFonts w:cs="Calibri"/>
          <w:b w:val="0"/>
        </w:rPr>
      </w:pPr>
      <w:r w:rsidRPr="00837A9F">
        <w:rPr>
          <w:rStyle w:val="Strong"/>
          <w:rFonts w:cs="Calibri"/>
          <w:b w:val="0"/>
        </w:rPr>
        <w:t xml:space="preserve">Not valid </w:t>
      </w:r>
      <w:r w:rsidR="00AF7576" w:rsidRPr="00837A9F">
        <w:rPr>
          <w:rStyle w:val="Strong"/>
          <w:rFonts w:cs="Calibri"/>
          <w:b w:val="0"/>
        </w:rPr>
        <w:t xml:space="preserve">for implants that are inserted </w:t>
      </w:r>
      <w:r w:rsidR="00272B83" w:rsidRPr="00837A9F">
        <w:rPr>
          <w:rStyle w:val="Strong"/>
          <w:rFonts w:cs="Calibri"/>
          <w:b w:val="0"/>
        </w:rPr>
        <w:t>in</w:t>
      </w:r>
      <w:r w:rsidR="00AF7576" w:rsidRPr="00837A9F">
        <w:rPr>
          <w:rStyle w:val="Strong"/>
          <w:rFonts w:cs="Calibri"/>
          <w:b w:val="0"/>
        </w:rPr>
        <w:t>correctly</w:t>
      </w:r>
      <w:r w:rsidR="00272B83" w:rsidRPr="00837A9F">
        <w:rPr>
          <w:rStyle w:val="Strong"/>
          <w:rFonts w:cs="Calibri"/>
          <w:b w:val="0"/>
        </w:rPr>
        <w:t xml:space="preserve">, or functioning </w:t>
      </w:r>
      <w:r w:rsidR="00711D7E" w:rsidRPr="00837A9F">
        <w:rPr>
          <w:rStyle w:val="Strong"/>
          <w:rFonts w:cs="Calibri"/>
          <w:b w:val="0"/>
        </w:rPr>
        <w:t>incorrectly</w:t>
      </w:r>
      <w:r w:rsidR="00AF7576" w:rsidRPr="00837A9F">
        <w:rPr>
          <w:rStyle w:val="Strong"/>
          <w:rFonts w:cs="Calibri"/>
          <w:b w:val="0"/>
        </w:rPr>
        <w:t>.</w:t>
      </w:r>
    </w:p>
    <w:p w:rsidR="00272B83" w:rsidRPr="00837A9F" w:rsidRDefault="00272B83" w:rsidP="00906121">
      <w:pPr>
        <w:pStyle w:val="NoSpacing"/>
        <w:numPr>
          <w:ilvl w:val="0"/>
          <w:numId w:val="8"/>
        </w:numPr>
        <w:jc w:val="both"/>
        <w:rPr>
          <w:rStyle w:val="Strong"/>
          <w:rFonts w:cs="Calibri"/>
          <w:b w:val="0"/>
        </w:rPr>
      </w:pPr>
      <w:r w:rsidRPr="00837A9F">
        <w:rPr>
          <w:rStyle w:val="Strong"/>
          <w:rFonts w:cs="Calibri"/>
          <w:b w:val="0"/>
        </w:rPr>
        <w:t xml:space="preserve">Not valid for </w:t>
      </w:r>
      <w:r w:rsidR="00711D7E" w:rsidRPr="00837A9F">
        <w:rPr>
          <w:rStyle w:val="Strong"/>
          <w:rFonts w:cs="Calibri"/>
          <w:b w:val="0"/>
        </w:rPr>
        <w:t>any MRI protocol</w:t>
      </w:r>
      <w:r w:rsidRPr="00837A9F">
        <w:rPr>
          <w:rStyle w:val="Strong"/>
          <w:rFonts w:cs="Calibri"/>
          <w:b w:val="0"/>
        </w:rPr>
        <w:t xml:space="preserve"> that involve</w:t>
      </w:r>
      <w:r w:rsidR="00711D7E" w:rsidRPr="00837A9F">
        <w:rPr>
          <w:rStyle w:val="Strong"/>
          <w:rFonts w:cs="Calibri"/>
          <w:b w:val="0"/>
        </w:rPr>
        <w:t>s</w:t>
      </w:r>
      <w:r w:rsidRPr="00837A9F">
        <w:rPr>
          <w:rStyle w:val="Strong"/>
          <w:rFonts w:cs="Calibri"/>
          <w:b w:val="0"/>
        </w:rPr>
        <w:t xml:space="preserve"> scanning above the normal mode of operation.</w:t>
      </w:r>
    </w:p>
    <w:p w:rsidR="00272B83" w:rsidRPr="00837A9F" w:rsidRDefault="00272B83" w:rsidP="00906121">
      <w:pPr>
        <w:pStyle w:val="NoSpacing"/>
        <w:numPr>
          <w:ilvl w:val="0"/>
          <w:numId w:val="8"/>
        </w:numPr>
        <w:jc w:val="both"/>
        <w:rPr>
          <w:rStyle w:val="Strong"/>
          <w:rFonts w:cs="Calibri"/>
          <w:b w:val="0"/>
        </w:rPr>
      </w:pPr>
      <w:r w:rsidRPr="00837A9F">
        <w:rPr>
          <w:rStyle w:val="Strong"/>
          <w:rFonts w:cs="Calibri"/>
          <w:b w:val="0"/>
        </w:rPr>
        <w:t>Not valid for</w:t>
      </w:r>
      <w:r w:rsidR="00711D7E" w:rsidRPr="00837A9F">
        <w:rPr>
          <w:rStyle w:val="Strong"/>
          <w:rFonts w:cs="Calibri"/>
          <w:b w:val="0"/>
        </w:rPr>
        <w:t xml:space="preserve"> any MRI protocol</w:t>
      </w:r>
      <w:r w:rsidRPr="00837A9F">
        <w:rPr>
          <w:rStyle w:val="Strong"/>
          <w:rFonts w:cs="Calibri"/>
          <w:b w:val="0"/>
        </w:rPr>
        <w:t xml:space="preserve"> </w:t>
      </w:r>
      <w:r w:rsidR="00711D7E" w:rsidRPr="00837A9F">
        <w:rPr>
          <w:rStyle w:val="Strong"/>
          <w:rFonts w:cs="Calibri"/>
          <w:b w:val="0"/>
        </w:rPr>
        <w:t xml:space="preserve">where </w:t>
      </w:r>
      <w:r w:rsidRPr="00837A9F">
        <w:rPr>
          <w:rStyle w:val="Strong"/>
          <w:rFonts w:cs="Calibri"/>
          <w:b w:val="0"/>
        </w:rPr>
        <w:t>consecutive pulse sequences (‘sequence stacking’)</w:t>
      </w:r>
      <w:r w:rsidR="00711D7E" w:rsidRPr="00837A9F">
        <w:rPr>
          <w:rStyle w:val="Strong"/>
          <w:rFonts w:cs="Calibri"/>
          <w:b w:val="0"/>
        </w:rPr>
        <w:t xml:space="preserve"> are applied</w:t>
      </w:r>
      <w:r w:rsidRPr="00837A9F">
        <w:rPr>
          <w:rStyle w:val="Strong"/>
          <w:rFonts w:cs="Calibri"/>
          <w:b w:val="0"/>
        </w:rPr>
        <w:t xml:space="preserve"> without a short time delay</w:t>
      </w:r>
      <w:r w:rsidRPr="00837A9F">
        <w:rPr>
          <w:rFonts w:cs="Calibri"/>
        </w:rPr>
        <w:t xml:space="preserve"> of around </w:t>
      </w:r>
      <w:r w:rsidR="00837A9F">
        <w:rPr>
          <w:rFonts w:cs="Calibri"/>
        </w:rPr>
        <w:t>20</w:t>
      </w:r>
      <w:r w:rsidRPr="00837A9F">
        <w:rPr>
          <w:rFonts w:cs="Calibri"/>
        </w:rPr>
        <w:t xml:space="preserve"> seconds </w:t>
      </w:r>
      <w:r w:rsidRPr="00837A9F">
        <w:rPr>
          <w:rStyle w:val="Strong"/>
          <w:rFonts w:cs="Calibri"/>
          <w:b w:val="0"/>
        </w:rPr>
        <w:t>between them</w:t>
      </w:r>
      <w:r w:rsidR="0048225D" w:rsidRPr="00837A9F">
        <w:rPr>
          <w:rStyle w:val="Strong"/>
          <w:rFonts w:cs="Calibri"/>
          <w:b w:val="0"/>
        </w:rPr>
        <w:t>, or where a single sequence exceeds 15 minutes duration</w:t>
      </w:r>
      <w:r w:rsidRPr="00837A9F">
        <w:rPr>
          <w:rStyle w:val="Strong"/>
          <w:rFonts w:cs="Calibri"/>
          <w:b w:val="0"/>
        </w:rPr>
        <w:t>.</w:t>
      </w:r>
    </w:p>
    <w:p w:rsidR="005606F5" w:rsidRPr="00837A9F" w:rsidRDefault="005606F5" w:rsidP="00906121">
      <w:pPr>
        <w:pStyle w:val="NoSpacing"/>
        <w:numPr>
          <w:ilvl w:val="0"/>
          <w:numId w:val="8"/>
        </w:numPr>
        <w:jc w:val="both"/>
        <w:rPr>
          <w:rStyle w:val="Strong"/>
          <w:rFonts w:cs="Calibri"/>
          <w:b w:val="0"/>
        </w:rPr>
      </w:pPr>
      <w:r w:rsidRPr="00837A9F">
        <w:rPr>
          <w:rStyle w:val="Strong"/>
          <w:rFonts w:cs="Calibri"/>
          <w:b w:val="0"/>
        </w:rPr>
        <w:t xml:space="preserve">Not valid for implants </w:t>
      </w:r>
      <w:r w:rsidR="00272B83" w:rsidRPr="00837A9F">
        <w:rPr>
          <w:rStyle w:val="Strong"/>
          <w:rFonts w:cs="Calibri"/>
          <w:b w:val="0"/>
        </w:rPr>
        <w:t>where MR scanning is required less than 6 weeks pos</w:t>
      </w:r>
      <w:r w:rsidR="00837A9F">
        <w:rPr>
          <w:rStyle w:val="Strong"/>
          <w:rFonts w:cs="Calibri"/>
          <w:b w:val="0"/>
        </w:rPr>
        <w:t>t surgery</w:t>
      </w:r>
      <w:r w:rsidR="00272B83" w:rsidRPr="00837A9F">
        <w:rPr>
          <w:rStyle w:val="Strong"/>
          <w:rFonts w:cs="Calibri"/>
          <w:b w:val="0"/>
        </w:rPr>
        <w:t>.</w:t>
      </w:r>
    </w:p>
    <w:p w:rsidR="00610DA7" w:rsidRPr="00837A9F" w:rsidRDefault="00610DA7" w:rsidP="00906121">
      <w:pPr>
        <w:pStyle w:val="NoSpacing"/>
        <w:numPr>
          <w:ilvl w:val="0"/>
          <w:numId w:val="8"/>
        </w:numPr>
        <w:jc w:val="both"/>
        <w:rPr>
          <w:rStyle w:val="Strong"/>
          <w:rFonts w:cs="Calibri"/>
          <w:b w:val="0"/>
        </w:rPr>
      </w:pPr>
      <w:r w:rsidRPr="00837A9F">
        <w:rPr>
          <w:rStyle w:val="Strong"/>
          <w:rFonts w:cs="Calibri"/>
          <w:b w:val="0"/>
        </w:rPr>
        <w:t xml:space="preserve">Not valid for other non-vascular stent types such as </w:t>
      </w:r>
      <w:proofErr w:type="spellStart"/>
      <w:r w:rsidRPr="00837A9F">
        <w:rPr>
          <w:rStyle w:val="Strong"/>
          <w:rFonts w:cs="Calibri"/>
          <w:b w:val="0"/>
        </w:rPr>
        <w:t>biliary</w:t>
      </w:r>
      <w:proofErr w:type="spellEnd"/>
      <w:r w:rsidRPr="00837A9F">
        <w:rPr>
          <w:rStyle w:val="Strong"/>
          <w:rFonts w:cs="Calibri"/>
          <w:b w:val="0"/>
        </w:rPr>
        <w:t xml:space="preserve">, pancreatic, oesophageal, bronchial, and </w:t>
      </w:r>
      <w:proofErr w:type="spellStart"/>
      <w:r w:rsidRPr="00837A9F">
        <w:rPr>
          <w:rStyle w:val="Strong"/>
          <w:rFonts w:cs="Calibri"/>
          <w:b w:val="0"/>
        </w:rPr>
        <w:t>ureteric</w:t>
      </w:r>
      <w:proofErr w:type="spellEnd"/>
      <w:r w:rsidRPr="00837A9F">
        <w:rPr>
          <w:rStyle w:val="Strong"/>
          <w:rFonts w:cs="Calibri"/>
          <w:b w:val="0"/>
        </w:rPr>
        <w:t xml:space="preserve"> stents.</w:t>
      </w:r>
    </w:p>
    <w:p w:rsidR="0013673D" w:rsidRPr="004908F4" w:rsidRDefault="00212210" w:rsidP="00906121">
      <w:pPr>
        <w:pStyle w:val="NormalWeb"/>
        <w:jc w:val="both"/>
        <w:rPr>
          <w:rStyle w:val="Strong"/>
          <w:rFonts w:ascii="Calibri" w:hAnsi="Calibri" w:cs="Calibri"/>
          <w:color w:val="000000"/>
          <w:sz w:val="22"/>
          <w:szCs w:val="22"/>
        </w:rPr>
      </w:pPr>
      <w:r w:rsidRPr="004908F4">
        <w:rPr>
          <w:rStyle w:val="Strong"/>
          <w:rFonts w:ascii="Calibri" w:hAnsi="Calibri" w:cs="Calibri"/>
          <w:color w:val="000000"/>
          <w:sz w:val="22"/>
          <w:szCs w:val="22"/>
        </w:rPr>
        <w:t>Important supporting d</w:t>
      </w:r>
      <w:r w:rsidR="0013673D" w:rsidRPr="004908F4">
        <w:rPr>
          <w:rStyle w:val="Strong"/>
          <w:rFonts w:ascii="Calibri" w:hAnsi="Calibri" w:cs="Calibri"/>
          <w:color w:val="000000"/>
          <w:sz w:val="22"/>
          <w:szCs w:val="22"/>
        </w:rPr>
        <w:t>ocumentation:</w:t>
      </w:r>
    </w:p>
    <w:p w:rsidR="0013673D" w:rsidRPr="00837A9F" w:rsidRDefault="00837A9F" w:rsidP="00906121">
      <w:pPr>
        <w:pStyle w:val="NormalWeb"/>
        <w:numPr>
          <w:ilvl w:val="0"/>
          <w:numId w:val="9"/>
        </w:numPr>
        <w:jc w:val="both"/>
        <w:rPr>
          <w:rStyle w:val="Strong"/>
          <w:rFonts w:ascii="Calibri" w:hAnsi="Calibri" w:cs="Calibri"/>
          <w:b w:val="0"/>
          <w:sz w:val="22"/>
          <w:szCs w:val="22"/>
        </w:rPr>
      </w:pPr>
      <w:r>
        <w:rPr>
          <w:rStyle w:val="Strong"/>
          <w:rFonts w:ascii="Calibri" w:hAnsi="Calibri" w:cs="Calibri"/>
          <w:b w:val="0"/>
          <w:sz w:val="22"/>
          <w:szCs w:val="22"/>
        </w:rPr>
        <w:t>Detailed scientific r</w:t>
      </w:r>
      <w:r w:rsidR="0013673D" w:rsidRPr="00837A9F">
        <w:rPr>
          <w:rStyle w:val="Strong"/>
          <w:rFonts w:ascii="Calibri" w:hAnsi="Calibri" w:cs="Calibri"/>
          <w:b w:val="0"/>
          <w:sz w:val="22"/>
          <w:szCs w:val="22"/>
        </w:rPr>
        <w:t>eview.</w:t>
      </w:r>
    </w:p>
    <w:p w:rsidR="0013673D" w:rsidRPr="00837A9F" w:rsidRDefault="0013673D" w:rsidP="00906121">
      <w:pPr>
        <w:pStyle w:val="NormalWeb"/>
        <w:numPr>
          <w:ilvl w:val="0"/>
          <w:numId w:val="9"/>
        </w:numPr>
        <w:jc w:val="both"/>
        <w:rPr>
          <w:rStyle w:val="Strong"/>
          <w:rFonts w:ascii="Calibri" w:hAnsi="Calibri" w:cs="Calibri"/>
          <w:b w:val="0"/>
          <w:sz w:val="22"/>
          <w:szCs w:val="22"/>
        </w:rPr>
      </w:pPr>
      <w:r w:rsidRPr="00837A9F">
        <w:rPr>
          <w:rStyle w:val="Strong"/>
          <w:rFonts w:ascii="Calibri" w:hAnsi="Calibri" w:cs="Calibri"/>
          <w:b w:val="0"/>
          <w:sz w:val="22"/>
          <w:szCs w:val="22"/>
        </w:rPr>
        <w:t>Risk assessment.</w:t>
      </w:r>
    </w:p>
    <w:p w:rsidR="00837A9F" w:rsidRDefault="009A2098" w:rsidP="00837A9F">
      <w:pPr>
        <w:pStyle w:val="NormalWeb"/>
        <w:jc w:val="both"/>
        <w:rPr>
          <w:rStyle w:val="Strong"/>
          <w:rFonts w:ascii="Calibri" w:hAnsi="Calibri" w:cs="Calibri"/>
          <w:color w:val="000000"/>
          <w:sz w:val="22"/>
          <w:szCs w:val="22"/>
        </w:rPr>
      </w:pPr>
      <w:r w:rsidRPr="004908F4">
        <w:rPr>
          <w:rStyle w:val="Strong"/>
          <w:rFonts w:ascii="Calibri" w:hAnsi="Calibri" w:cs="Calibri"/>
          <w:color w:val="000000"/>
          <w:sz w:val="22"/>
          <w:szCs w:val="22"/>
        </w:rPr>
        <w:t>Advice</w:t>
      </w:r>
      <w:r w:rsidR="00212210" w:rsidRPr="004908F4">
        <w:rPr>
          <w:rStyle w:val="Strong"/>
          <w:rFonts w:ascii="Calibri" w:hAnsi="Calibri" w:cs="Calibri"/>
          <w:color w:val="000000"/>
          <w:sz w:val="22"/>
          <w:szCs w:val="22"/>
        </w:rPr>
        <w:t xml:space="preserve"> s</w:t>
      </w:r>
      <w:r w:rsidR="007925F5" w:rsidRPr="004908F4">
        <w:rPr>
          <w:rStyle w:val="Strong"/>
          <w:rFonts w:ascii="Calibri" w:hAnsi="Calibri" w:cs="Calibri"/>
          <w:color w:val="000000"/>
          <w:sz w:val="22"/>
          <w:szCs w:val="22"/>
        </w:rPr>
        <w:t>ummary</w:t>
      </w:r>
      <w:r w:rsidR="0013673D" w:rsidRPr="004908F4">
        <w:rPr>
          <w:rStyle w:val="Strong"/>
          <w:rFonts w:ascii="Calibri" w:hAnsi="Calibri" w:cs="Calibri"/>
          <w:color w:val="000000"/>
          <w:sz w:val="22"/>
          <w:szCs w:val="22"/>
        </w:rPr>
        <w:t>:</w:t>
      </w:r>
    </w:p>
    <w:p w:rsidR="0070762E" w:rsidRPr="00837A9F" w:rsidRDefault="009A2098" w:rsidP="00837A9F">
      <w:pPr>
        <w:pStyle w:val="NormalWeb"/>
        <w:jc w:val="both"/>
        <w:rPr>
          <w:rFonts w:ascii="Calibri" w:hAnsi="Calibri" w:cs="Calibri"/>
          <w:b/>
          <w:bCs/>
          <w:color w:val="000000"/>
          <w:sz w:val="22"/>
          <w:szCs w:val="22"/>
        </w:rPr>
      </w:pPr>
      <w:r w:rsidRPr="00837A9F">
        <w:rPr>
          <w:rFonts w:ascii="Calibri" w:hAnsi="Calibri" w:cs="Calibri"/>
          <w:sz w:val="22"/>
          <w:szCs w:val="22"/>
        </w:rPr>
        <w:t>No known contraindication to MRI at 1.5</w:t>
      </w:r>
      <w:r w:rsidR="002F77F3" w:rsidRPr="00837A9F">
        <w:rPr>
          <w:rFonts w:ascii="Calibri" w:hAnsi="Calibri" w:cs="Calibri"/>
          <w:sz w:val="22"/>
          <w:szCs w:val="22"/>
        </w:rPr>
        <w:t xml:space="preserve"> or 3</w:t>
      </w:r>
      <w:r w:rsidRPr="00837A9F">
        <w:rPr>
          <w:rFonts w:ascii="Calibri" w:hAnsi="Calibri" w:cs="Calibri"/>
          <w:sz w:val="22"/>
          <w:szCs w:val="22"/>
        </w:rPr>
        <w:t>T provided that the</w:t>
      </w:r>
      <w:r w:rsidR="0070762E" w:rsidRPr="00837A9F">
        <w:rPr>
          <w:rFonts w:ascii="Calibri" w:hAnsi="Calibri" w:cs="Calibri"/>
          <w:sz w:val="22"/>
          <w:szCs w:val="22"/>
        </w:rPr>
        <w:t xml:space="preserve"> following applies:</w:t>
      </w:r>
    </w:p>
    <w:p w:rsidR="005606F5" w:rsidRPr="00085AF8" w:rsidRDefault="00085AF8" w:rsidP="00837A9F">
      <w:pPr>
        <w:pStyle w:val="NormalWeb"/>
        <w:numPr>
          <w:ilvl w:val="0"/>
          <w:numId w:val="19"/>
        </w:numPr>
        <w:jc w:val="both"/>
        <w:rPr>
          <w:rFonts w:ascii="Calibri" w:hAnsi="Calibri" w:cs="Calibri"/>
          <w:color w:val="FF0000"/>
          <w:sz w:val="22"/>
          <w:szCs w:val="22"/>
        </w:rPr>
      </w:pPr>
      <w:r w:rsidRPr="00085AF8">
        <w:rPr>
          <w:rFonts w:ascii="Calibri" w:hAnsi="Calibri" w:cs="Calibri"/>
          <w:color w:val="FF0000"/>
          <w:sz w:val="22"/>
          <w:szCs w:val="22"/>
        </w:rPr>
        <w:t>The non coronary vascular stent</w:t>
      </w:r>
      <w:r w:rsidR="00FC375C" w:rsidRPr="00085AF8">
        <w:rPr>
          <w:rFonts w:ascii="Calibri" w:hAnsi="Calibri" w:cs="Calibri"/>
          <w:color w:val="FF0000"/>
          <w:sz w:val="22"/>
          <w:szCs w:val="22"/>
        </w:rPr>
        <w:t xml:space="preserve"> is</w:t>
      </w:r>
      <w:r w:rsidR="00E10DB8" w:rsidRPr="00085AF8">
        <w:rPr>
          <w:rFonts w:ascii="Calibri" w:hAnsi="Calibri" w:cs="Calibri"/>
          <w:color w:val="FF0000"/>
          <w:sz w:val="22"/>
          <w:szCs w:val="22"/>
        </w:rPr>
        <w:t xml:space="preserve"> </w:t>
      </w:r>
      <w:r w:rsidRPr="00085AF8">
        <w:rPr>
          <w:rFonts w:ascii="Calibri" w:hAnsi="Calibri" w:cs="Calibri"/>
          <w:color w:val="FF0000"/>
          <w:sz w:val="22"/>
          <w:szCs w:val="22"/>
        </w:rPr>
        <w:t>implanted</w:t>
      </w:r>
      <w:r w:rsidR="009A2098" w:rsidRPr="00085AF8">
        <w:rPr>
          <w:rFonts w:ascii="Calibri" w:hAnsi="Calibri" w:cs="Calibri"/>
          <w:color w:val="FF0000"/>
          <w:sz w:val="22"/>
          <w:szCs w:val="22"/>
        </w:rPr>
        <w:t xml:space="preserve"> correc</w:t>
      </w:r>
      <w:r w:rsidR="00E10DB8" w:rsidRPr="00085AF8">
        <w:rPr>
          <w:rFonts w:ascii="Calibri" w:hAnsi="Calibri" w:cs="Calibri"/>
          <w:color w:val="FF0000"/>
          <w:sz w:val="22"/>
          <w:szCs w:val="22"/>
        </w:rPr>
        <w:t>tly</w:t>
      </w:r>
      <w:r w:rsidR="0070762E" w:rsidRPr="00085AF8">
        <w:rPr>
          <w:rFonts w:ascii="Calibri" w:hAnsi="Calibri" w:cs="Calibri"/>
          <w:color w:val="FF0000"/>
          <w:sz w:val="22"/>
          <w:szCs w:val="22"/>
        </w:rPr>
        <w:t xml:space="preserve"> and functioning as intended</w:t>
      </w:r>
      <w:r w:rsidR="009A2098" w:rsidRPr="00085AF8">
        <w:rPr>
          <w:rFonts w:ascii="Calibri" w:hAnsi="Calibri" w:cs="Calibri"/>
          <w:color w:val="FF0000"/>
          <w:sz w:val="22"/>
          <w:szCs w:val="22"/>
        </w:rPr>
        <w:t>.</w:t>
      </w:r>
    </w:p>
    <w:p w:rsidR="0070762E" w:rsidRPr="00085AF8" w:rsidRDefault="007D31FC" w:rsidP="00837A9F">
      <w:pPr>
        <w:pStyle w:val="NormalWeb"/>
        <w:numPr>
          <w:ilvl w:val="0"/>
          <w:numId w:val="19"/>
        </w:numPr>
        <w:jc w:val="both"/>
        <w:rPr>
          <w:rFonts w:ascii="Calibri" w:hAnsi="Calibri" w:cs="Calibri"/>
          <w:color w:val="FF0000"/>
          <w:sz w:val="22"/>
          <w:szCs w:val="22"/>
        </w:rPr>
      </w:pPr>
      <w:r w:rsidRPr="00085AF8">
        <w:rPr>
          <w:rFonts w:ascii="Calibri" w:hAnsi="Calibri" w:cs="Calibri"/>
          <w:color w:val="FF0000"/>
          <w:sz w:val="22"/>
          <w:szCs w:val="22"/>
        </w:rPr>
        <w:t>The stent has been in place</w:t>
      </w:r>
      <w:r w:rsidR="00311A66" w:rsidRPr="00085AF8">
        <w:rPr>
          <w:rFonts w:ascii="Calibri" w:hAnsi="Calibri" w:cs="Calibri"/>
          <w:color w:val="FF0000"/>
          <w:sz w:val="22"/>
          <w:szCs w:val="22"/>
        </w:rPr>
        <w:t xml:space="preserve"> at least</w:t>
      </w:r>
      <w:r w:rsidRPr="00085AF8">
        <w:rPr>
          <w:rFonts w:ascii="Calibri" w:hAnsi="Calibri" w:cs="Calibri"/>
          <w:color w:val="FF0000"/>
          <w:sz w:val="22"/>
          <w:szCs w:val="22"/>
        </w:rPr>
        <w:t xml:space="preserve"> 6</w:t>
      </w:r>
      <w:r w:rsidR="0070762E" w:rsidRPr="00085AF8">
        <w:rPr>
          <w:rFonts w:ascii="Calibri" w:hAnsi="Calibri" w:cs="Calibri"/>
          <w:color w:val="FF0000"/>
          <w:sz w:val="22"/>
          <w:szCs w:val="22"/>
        </w:rPr>
        <w:t xml:space="preserve"> weeks</w:t>
      </w:r>
      <w:r w:rsidR="006B3998" w:rsidRPr="00085AF8">
        <w:rPr>
          <w:rFonts w:ascii="Calibri" w:hAnsi="Calibri" w:cs="Calibri"/>
          <w:color w:val="FF0000"/>
          <w:sz w:val="22"/>
          <w:szCs w:val="22"/>
        </w:rPr>
        <w:t xml:space="preserve"> post-surgery.</w:t>
      </w:r>
    </w:p>
    <w:p w:rsidR="007925F5" w:rsidRPr="00085AF8" w:rsidRDefault="0070762E" w:rsidP="00837A9F">
      <w:pPr>
        <w:pStyle w:val="NormalWeb"/>
        <w:numPr>
          <w:ilvl w:val="0"/>
          <w:numId w:val="19"/>
        </w:numPr>
        <w:jc w:val="both"/>
        <w:rPr>
          <w:rFonts w:ascii="Calibri" w:hAnsi="Calibri" w:cs="Calibri"/>
          <w:color w:val="FF0000"/>
          <w:sz w:val="22"/>
          <w:szCs w:val="22"/>
        </w:rPr>
      </w:pPr>
      <w:r w:rsidRPr="00085AF8">
        <w:rPr>
          <w:rFonts w:ascii="Calibri" w:hAnsi="Calibri" w:cs="Calibri"/>
          <w:color w:val="FF0000"/>
          <w:sz w:val="22"/>
          <w:szCs w:val="22"/>
        </w:rPr>
        <w:t>The MRI protocol is applied</w:t>
      </w:r>
      <w:r w:rsidR="00D604A0" w:rsidRPr="00085AF8">
        <w:rPr>
          <w:rFonts w:ascii="Calibri" w:hAnsi="Calibri" w:cs="Calibri"/>
          <w:color w:val="FF0000"/>
          <w:sz w:val="22"/>
          <w:szCs w:val="22"/>
        </w:rPr>
        <w:t xml:space="preserve"> in the normal mode of operation</w:t>
      </w:r>
      <w:r w:rsidRPr="00085AF8">
        <w:rPr>
          <w:rFonts w:ascii="Calibri" w:hAnsi="Calibri" w:cs="Calibri"/>
          <w:color w:val="FF0000"/>
          <w:sz w:val="22"/>
          <w:szCs w:val="22"/>
        </w:rPr>
        <w:t xml:space="preserve"> with a short time delay of around </w:t>
      </w:r>
      <w:r w:rsidR="00311A66" w:rsidRPr="00085AF8">
        <w:rPr>
          <w:rFonts w:ascii="Calibri" w:hAnsi="Calibri" w:cs="Calibri"/>
          <w:color w:val="FF0000"/>
          <w:sz w:val="22"/>
          <w:szCs w:val="22"/>
        </w:rPr>
        <w:t>20</w:t>
      </w:r>
      <w:r w:rsidRPr="00085AF8">
        <w:rPr>
          <w:rFonts w:ascii="Calibri" w:hAnsi="Calibri" w:cs="Calibri"/>
          <w:color w:val="FF0000"/>
          <w:sz w:val="22"/>
          <w:szCs w:val="22"/>
        </w:rPr>
        <w:t xml:space="preserve"> seconds between successive pulse sequences.</w:t>
      </w:r>
    </w:p>
    <w:p w:rsidR="00B465F2" w:rsidRPr="00C97C19" w:rsidRDefault="0013673D" w:rsidP="00C97C19">
      <w:pPr>
        <w:widowControl w:val="0"/>
        <w:pBdr>
          <w:top w:val="nil"/>
          <w:left w:val="nil"/>
          <w:bottom w:val="nil"/>
          <w:right w:val="nil"/>
          <w:between w:val="nil"/>
        </w:pBdr>
        <w:spacing w:line="276" w:lineRule="auto"/>
        <w:jc w:val="both"/>
        <w:rPr>
          <w:i/>
        </w:rPr>
      </w:pPr>
      <w:r w:rsidRPr="0013673D">
        <w:rPr>
          <w:i/>
        </w:rPr>
        <w:t>For further important information about the benefits and risks of this GISP (together with a legal disclaimer) please review the following link: http//www.etc.</w:t>
      </w:r>
    </w:p>
    <w:sectPr w:rsidR="00B465F2" w:rsidRPr="00C97C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55EE" w:rsidRDefault="00DE55EE" w:rsidP="008512FF">
      <w:pPr>
        <w:spacing w:after="0" w:line="240" w:lineRule="auto"/>
      </w:pPr>
      <w:r>
        <w:separator/>
      </w:r>
    </w:p>
  </w:endnote>
  <w:endnote w:type="continuationSeparator" w:id="0">
    <w:p w:rsidR="00DE55EE" w:rsidRDefault="00DE55EE" w:rsidP="0085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55EE" w:rsidRDefault="00DE55EE" w:rsidP="008512FF">
      <w:pPr>
        <w:spacing w:after="0" w:line="240" w:lineRule="auto"/>
      </w:pPr>
      <w:r>
        <w:separator/>
      </w:r>
    </w:p>
  </w:footnote>
  <w:footnote w:type="continuationSeparator" w:id="0">
    <w:p w:rsidR="00DE55EE" w:rsidRDefault="00DE55EE" w:rsidP="00851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31E"/>
    <w:multiLevelType w:val="hybridMultilevel"/>
    <w:tmpl w:val="14042926"/>
    <w:lvl w:ilvl="0" w:tplc="EA08BC0E">
      <w:start w:val="1"/>
      <w:numFmt w:val="bullet"/>
      <w:lvlText w:val=""/>
      <w:lvlJc w:val="left"/>
      <w:pPr>
        <w:ind w:left="720" w:hanging="360"/>
      </w:pPr>
      <w:rPr>
        <w:rFonts w:ascii="Symbol" w:hAnsi="Symbol" w:hint="default"/>
        <w:color w:val="548DD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26180"/>
    <w:multiLevelType w:val="hybridMultilevel"/>
    <w:tmpl w:val="8F4E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A056E"/>
    <w:multiLevelType w:val="hybridMultilevel"/>
    <w:tmpl w:val="1AC6A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17602"/>
    <w:multiLevelType w:val="hybridMultilevel"/>
    <w:tmpl w:val="D886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64069"/>
    <w:multiLevelType w:val="hybridMultilevel"/>
    <w:tmpl w:val="956E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F5DD4"/>
    <w:multiLevelType w:val="multilevel"/>
    <w:tmpl w:val="A77E1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A57B10"/>
    <w:multiLevelType w:val="hybridMultilevel"/>
    <w:tmpl w:val="C8BA3FA6"/>
    <w:lvl w:ilvl="0" w:tplc="EA08BC0E">
      <w:start w:val="1"/>
      <w:numFmt w:val="bullet"/>
      <w:lvlText w:val=""/>
      <w:lvlJc w:val="left"/>
      <w:pPr>
        <w:ind w:left="720" w:hanging="360"/>
      </w:pPr>
      <w:rPr>
        <w:rFonts w:ascii="Symbol" w:hAnsi="Symbol" w:hint="default"/>
        <w:color w:val="548DD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86C23"/>
    <w:multiLevelType w:val="hybridMultilevel"/>
    <w:tmpl w:val="8F821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F90D56"/>
    <w:multiLevelType w:val="hybridMultilevel"/>
    <w:tmpl w:val="A7F0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56C0D"/>
    <w:multiLevelType w:val="hybridMultilevel"/>
    <w:tmpl w:val="D232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E56B7"/>
    <w:multiLevelType w:val="hybridMultilevel"/>
    <w:tmpl w:val="E7B8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D035D"/>
    <w:multiLevelType w:val="hybridMultilevel"/>
    <w:tmpl w:val="70087D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8361065"/>
    <w:multiLevelType w:val="hybridMultilevel"/>
    <w:tmpl w:val="2E04C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60B00"/>
    <w:multiLevelType w:val="hybridMultilevel"/>
    <w:tmpl w:val="1A14E372"/>
    <w:lvl w:ilvl="0" w:tplc="40BE150C">
      <w:start w:val="1"/>
      <w:numFmt w:val="bullet"/>
      <w:lvlText w:val=""/>
      <w:lvlJc w:val="left"/>
      <w:pPr>
        <w:ind w:left="720" w:hanging="360"/>
      </w:pPr>
      <w:rPr>
        <w:rFonts w:ascii="Symbol" w:hAnsi="Symbol" w:hint="default"/>
        <w:color w:val="548DD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337731"/>
    <w:multiLevelType w:val="hybridMultilevel"/>
    <w:tmpl w:val="C14E4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38310E"/>
    <w:multiLevelType w:val="hybridMultilevel"/>
    <w:tmpl w:val="6BC0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40208A"/>
    <w:multiLevelType w:val="hybridMultilevel"/>
    <w:tmpl w:val="B138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1530B9"/>
    <w:multiLevelType w:val="hybridMultilevel"/>
    <w:tmpl w:val="E7C6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45E31"/>
    <w:multiLevelType w:val="hybridMultilevel"/>
    <w:tmpl w:val="8DC67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32404">
    <w:abstractNumId w:val="5"/>
  </w:num>
  <w:num w:numId="2" w16cid:durableId="1951889985">
    <w:abstractNumId w:val="7"/>
  </w:num>
  <w:num w:numId="3" w16cid:durableId="1856188866">
    <w:abstractNumId w:val="4"/>
  </w:num>
  <w:num w:numId="4" w16cid:durableId="231234833">
    <w:abstractNumId w:val="17"/>
  </w:num>
  <w:num w:numId="5" w16cid:durableId="826675047">
    <w:abstractNumId w:val="3"/>
  </w:num>
  <w:num w:numId="6" w16cid:durableId="248858024">
    <w:abstractNumId w:val="1"/>
  </w:num>
  <w:num w:numId="7" w16cid:durableId="285889483">
    <w:abstractNumId w:val="9"/>
  </w:num>
  <w:num w:numId="8" w16cid:durableId="1209221417">
    <w:abstractNumId w:val="10"/>
  </w:num>
  <w:num w:numId="9" w16cid:durableId="324631613">
    <w:abstractNumId w:val="8"/>
  </w:num>
  <w:num w:numId="10" w16cid:durableId="1945768481">
    <w:abstractNumId w:val="14"/>
  </w:num>
  <w:num w:numId="11" w16cid:durableId="579560610">
    <w:abstractNumId w:val="2"/>
  </w:num>
  <w:num w:numId="12" w16cid:durableId="1604455812">
    <w:abstractNumId w:val="13"/>
  </w:num>
  <w:num w:numId="13" w16cid:durableId="777215384">
    <w:abstractNumId w:val="16"/>
  </w:num>
  <w:num w:numId="14" w16cid:durableId="1798984808">
    <w:abstractNumId w:val="0"/>
  </w:num>
  <w:num w:numId="15" w16cid:durableId="1551769316">
    <w:abstractNumId w:val="6"/>
  </w:num>
  <w:num w:numId="16" w16cid:durableId="1154373801">
    <w:abstractNumId w:val="18"/>
  </w:num>
  <w:num w:numId="17" w16cid:durableId="447967949">
    <w:abstractNumId w:val="12"/>
  </w:num>
  <w:num w:numId="18" w16cid:durableId="1760060501">
    <w:abstractNumId w:val="11"/>
  </w:num>
  <w:num w:numId="19" w16cid:durableId="18403912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67"/>
    <w:rsid w:val="000375EB"/>
    <w:rsid w:val="00041189"/>
    <w:rsid w:val="00075583"/>
    <w:rsid w:val="00085AF8"/>
    <w:rsid w:val="000C029B"/>
    <w:rsid w:val="000E35EB"/>
    <w:rsid w:val="0012223A"/>
    <w:rsid w:val="0013673D"/>
    <w:rsid w:val="00175BF3"/>
    <w:rsid w:val="001820E8"/>
    <w:rsid w:val="00186E8B"/>
    <w:rsid w:val="001B185D"/>
    <w:rsid w:val="001C50B0"/>
    <w:rsid w:val="001D49C8"/>
    <w:rsid w:val="00202A7B"/>
    <w:rsid w:val="00212210"/>
    <w:rsid w:val="002135D4"/>
    <w:rsid w:val="00223C9B"/>
    <w:rsid w:val="002606AA"/>
    <w:rsid w:val="00272B83"/>
    <w:rsid w:val="002847E3"/>
    <w:rsid w:val="002B687D"/>
    <w:rsid w:val="002F77F3"/>
    <w:rsid w:val="00311A66"/>
    <w:rsid w:val="00334ACD"/>
    <w:rsid w:val="00341D93"/>
    <w:rsid w:val="00365859"/>
    <w:rsid w:val="003737B3"/>
    <w:rsid w:val="003F7549"/>
    <w:rsid w:val="00411B6D"/>
    <w:rsid w:val="004338F1"/>
    <w:rsid w:val="0048225D"/>
    <w:rsid w:val="004908F4"/>
    <w:rsid w:val="004C4DF7"/>
    <w:rsid w:val="004E6954"/>
    <w:rsid w:val="00524F1A"/>
    <w:rsid w:val="00556CE9"/>
    <w:rsid w:val="005606F5"/>
    <w:rsid w:val="00581B68"/>
    <w:rsid w:val="00593481"/>
    <w:rsid w:val="005A5BA1"/>
    <w:rsid w:val="005C324C"/>
    <w:rsid w:val="005E381E"/>
    <w:rsid w:val="00610DA7"/>
    <w:rsid w:val="006B3998"/>
    <w:rsid w:val="006D2CAD"/>
    <w:rsid w:val="006E04B7"/>
    <w:rsid w:val="0070762E"/>
    <w:rsid w:val="00711D7E"/>
    <w:rsid w:val="00742C27"/>
    <w:rsid w:val="00755FB4"/>
    <w:rsid w:val="007721E4"/>
    <w:rsid w:val="007729E6"/>
    <w:rsid w:val="007925F5"/>
    <w:rsid w:val="00795715"/>
    <w:rsid w:val="007C001D"/>
    <w:rsid w:val="007D31FC"/>
    <w:rsid w:val="00810532"/>
    <w:rsid w:val="00837A9F"/>
    <w:rsid w:val="008471BC"/>
    <w:rsid w:val="008512FF"/>
    <w:rsid w:val="00855CE9"/>
    <w:rsid w:val="008767B4"/>
    <w:rsid w:val="008B7F42"/>
    <w:rsid w:val="008C6922"/>
    <w:rsid w:val="008F4913"/>
    <w:rsid w:val="00905E5C"/>
    <w:rsid w:val="00906121"/>
    <w:rsid w:val="009A2098"/>
    <w:rsid w:val="009A4B14"/>
    <w:rsid w:val="009B772B"/>
    <w:rsid w:val="00A90A99"/>
    <w:rsid w:val="00AB436E"/>
    <w:rsid w:val="00AC5D07"/>
    <w:rsid w:val="00AF38DB"/>
    <w:rsid w:val="00AF7576"/>
    <w:rsid w:val="00B465F2"/>
    <w:rsid w:val="00B51CFE"/>
    <w:rsid w:val="00BB6696"/>
    <w:rsid w:val="00BE4D9D"/>
    <w:rsid w:val="00BF34C5"/>
    <w:rsid w:val="00C04D67"/>
    <w:rsid w:val="00C21524"/>
    <w:rsid w:val="00C5402D"/>
    <w:rsid w:val="00C97C19"/>
    <w:rsid w:val="00CD2C70"/>
    <w:rsid w:val="00CE205C"/>
    <w:rsid w:val="00D03660"/>
    <w:rsid w:val="00D476C8"/>
    <w:rsid w:val="00D53A4F"/>
    <w:rsid w:val="00D55EC1"/>
    <w:rsid w:val="00D604A0"/>
    <w:rsid w:val="00DB75BB"/>
    <w:rsid w:val="00DE4E24"/>
    <w:rsid w:val="00DE55EE"/>
    <w:rsid w:val="00E10DB8"/>
    <w:rsid w:val="00E47295"/>
    <w:rsid w:val="00E61CE0"/>
    <w:rsid w:val="00E86E73"/>
    <w:rsid w:val="00E96C76"/>
    <w:rsid w:val="00F1309F"/>
    <w:rsid w:val="00F77EE4"/>
    <w:rsid w:val="00FC375C"/>
    <w:rsid w:val="00FC38EF"/>
    <w:rsid w:val="00FD6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4BE8A87-2C2E-4828-B324-71E12ECF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paragraph" w:styleId="Heading3">
    <w:name w:val="heading 3"/>
    <w:basedOn w:val="Normal"/>
    <w:link w:val="Heading3Char"/>
    <w:uiPriority w:val="9"/>
    <w:qFormat/>
    <w:rsid w:val="00C04D67"/>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4D67"/>
    <w:rPr>
      <w:color w:val="0563C1"/>
      <w:u w:val="single"/>
    </w:rPr>
  </w:style>
  <w:style w:type="character" w:customStyle="1" w:styleId="Heading3Char">
    <w:name w:val="Heading 3 Char"/>
    <w:link w:val="Heading3"/>
    <w:uiPriority w:val="9"/>
    <w:rsid w:val="00C04D67"/>
    <w:rPr>
      <w:rFonts w:ascii="Times New Roman" w:eastAsia="Times New Roman" w:hAnsi="Times New Roman"/>
      <w:b/>
      <w:bCs/>
      <w:sz w:val="27"/>
      <w:szCs w:val="27"/>
    </w:rPr>
  </w:style>
  <w:style w:type="character" w:styleId="Strong">
    <w:name w:val="Strong"/>
    <w:uiPriority w:val="22"/>
    <w:qFormat/>
    <w:rsid w:val="00C04D67"/>
    <w:rPr>
      <w:b/>
      <w:bCs/>
    </w:rPr>
  </w:style>
  <w:style w:type="paragraph" w:styleId="NormalWeb">
    <w:name w:val="Normal (Web)"/>
    <w:basedOn w:val="Normal"/>
    <w:uiPriority w:val="99"/>
    <w:unhideWhenUsed/>
    <w:rsid w:val="00C04D67"/>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8512FF"/>
    <w:pPr>
      <w:tabs>
        <w:tab w:val="center" w:pos="4513"/>
        <w:tab w:val="right" w:pos="9026"/>
      </w:tabs>
    </w:pPr>
    <w:rPr>
      <w:lang w:val="x-none"/>
    </w:rPr>
  </w:style>
  <w:style w:type="character" w:customStyle="1" w:styleId="HeaderChar">
    <w:name w:val="Header Char"/>
    <w:link w:val="Header"/>
    <w:uiPriority w:val="99"/>
    <w:rsid w:val="008512FF"/>
    <w:rPr>
      <w:sz w:val="22"/>
      <w:szCs w:val="22"/>
      <w:lang w:eastAsia="en-US"/>
    </w:rPr>
  </w:style>
  <w:style w:type="paragraph" w:styleId="Footer">
    <w:name w:val="footer"/>
    <w:basedOn w:val="Normal"/>
    <w:link w:val="FooterChar"/>
    <w:uiPriority w:val="99"/>
    <w:unhideWhenUsed/>
    <w:rsid w:val="008512FF"/>
    <w:pPr>
      <w:tabs>
        <w:tab w:val="center" w:pos="4513"/>
        <w:tab w:val="right" w:pos="9026"/>
      </w:tabs>
    </w:pPr>
    <w:rPr>
      <w:lang w:val="x-none"/>
    </w:rPr>
  </w:style>
  <w:style w:type="character" w:customStyle="1" w:styleId="FooterChar">
    <w:name w:val="Footer Char"/>
    <w:link w:val="Footer"/>
    <w:uiPriority w:val="99"/>
    <w:rsid w:val="008512FF"/>
    <w:rPr>
      <w:sz w:val="22"/>
      <w:szCs w:val="22"/>
      <w:lang w:eastAsia="en-US"/>
    </w:rPr>
  </w:style>
  <w:style w:type="character" w:styleId="CommentReference">
    <w:name w:val="annotation reference"/>
    <w:uiPriority w:val="99"/>
    <w:semiHidden/>
    <w:unhideWhenUsed/>
    <w:rsid w:val="004E6954"/>
    <w:rPr>
      <w:sz w:val="16"/>
      <w:szCs w:val="16"/>
    </w:rPr>
  </w:style>
  <w:style w:type="paragraph" w:styleId="CommentText">
    <w:name w:val="annotation text"/>
    <w:basedOn w:val="Normal"/>
    <w:link w:val="CommentTextChar"/>
    <w:uiPriority w:val="99"/>
    <w:semiHidden/>
    <w:unhideWhenUsed/>
    <w:rsid w:val="004E6954"/>
    <w:rPr>
      <w:sz w:val="20"/>
      <w:szCs w:val="20"/>
      <w:lang w:val="x-none"/>
    </w:rPr>
  </w:style>
  <w:style w:type="character" w:customStyle="1" w:styleId="CommentTextChar">
    <w:name w:val="Comment Text Char"/>
    <w:link w:val="CommentText"/>
    <w:uiPriority w:val="99"/>
    <w:semiHidden/>
    <w:rsid w:val="004E6954"/>
    <w:rPr>
      <w:lang w:eastAsia="en-US"/>
    </w:rPr>
  </w:style>
  <w:style w:type="paragraph" w:styleId="CommentSubject">
    <w:name w:val="annotation subject"/>
    <w:basedOn w:val="CommentText"/>
    <w:next w:val="CommentText"/>
    <w:link w:val="CommentSubjectChar"/>
    <w:uiPriority w:val="99"/>
    <w:semiHidden/>
    <w:unhideWhenUsed/>
    <w:rsid w:val="004E6954"/>
    <w:rPr>
      <w:b/>
      <w:bCs/>
    </w:rPr>
  </w:style>
  <w:style w:type="character" w:customStyle="1" w:styleId="CommentSubjectChar">
    <w:name w:val="Comment Subject Char"/>
    <w:link w:val="CommentSubject"/>
    <w:uiPriority w:val="99"/>
    <w:semiHidden/>
    <w:rsid w:val="004E6954"/>
    <w:rPr>
      <w:b/>
      <w:bCs/>
      <w:lang w:eastAsia="en-US"/>
    </w:rPr>
  </w:style>
  <w:style w:type="paragraph" w:styleId="BalloonText">
    <w:name w:val="Balloon Text"/>
    <w:basedOn w:val="Normal"/>
    <w:link w:val="BalloonTextChar"/>
    <w:uiPriority w:val="99"/>
    <w:semiHidden/>
    <w:unhideWhenUsed/>
    <w:rsid w:val="004E695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E6954"/>
    <w:rPr>
      <w:rFonts w:ascii="Tahoma" w:hAnsi="Tahoma" w:cs="Tahoma"/>
      <w:sz w:val="16"/>
      <w:szCs w:val="16"/>
      <w:lang w:eastAsia="en-US"/>
    </w:rPr>
  </w:style>
  <w:style w:type="paragraph" w:styleId="NoSpacing">
    <w:name w:val="No Spacing"/>
    <w:uiPriority w:val="1"/>
    <w:qFormat/>
    <w:rsid w:val="007729E6"/>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150E02D859D4F96EACB54E3C6CCDA" ma:contentTypeVersion="15" ma:contentTypeDescription="Create a new document." ma:contentTypeScope="" ma:versionID="7293520c4d6116d21af0e6dac25f634f">
  <xsd:schema xmlns:xsd="http://www.w3.org/2001/XMLSchema" xmlns:xs="http://www.w3.org/2001/XMLSchema" xmlns:p="http://schemas.microsoft.com/office/2006/metadata/properties" xmlns:ns2="3111cb03-c1d7-49db-8220-f16a1d16f93b" xmlns:ns3="cbe1fdb1-0590-4ac8-b289-0e18866762ff" targetNamespace="http://schemas.microsoft.com/office/2006/metadata/properties" ma:root="true" ma:fieldsID="ef51c5b2a322fd016ca9ccda67dd7cf3" ns2:_="" ns3:_="">
    <xsd:import namespace="3111cb03-c1d7-49db-8220-f16a1d16f93b"/>
    <xsd:import namespace="cbe1fdb1-0590-4ac8-b289-0e1886676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1cb03-c1d7-49db-8220-f16a1d16f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e1fdb1-0590-4ac8-b289-0e18866762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1b89a4-98af-4dd5-bcfa-631b3b0615b5}" ma:internalName="TaxCatchAll" ma:showField="CatchAllData" ma:web="cbe1fdb1-0590-4ac8-b289-0e1886676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2B3F5-74C3-49E6-9693-12597F9DB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1cb03-c1d7-49db-8220-f16a1d16f93b"/>
    <ds:schemaRef ds:uri="cbe1fdb1-0590-4ac8-b289-0e1886676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226FE-CEE8-4D4E-9187-305423EB60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McLean</dc:creator>
  <cp:keywords/>
  <cp:lastModifiedBy>sjgandy</cp:lastModifiedBy>
  <cp:revision>39</cp:revision>
  <dcterms:created xsi:type="dcterms:W3CDTF">2023-06-27T08:45:00Z</dcterms:created>
  <dcterms:modified xsi:type="dcterms:W3CDTF">2023-06-27T08:45:00Z</dcterms:modified>
</cp:coreProperties>
</file>